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charts/chart1.xml" ContentType="application/vnd.openxmlformats-officedocument.drawingml.chart+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charts/chart3.xml" ContentType="application/vnd.openxmlformats-officedocument.drawingml.chart+xml"/>
  <Override PartName="/word/footer1.xml" ContentType="application/vnd.openxmlformats-officedocument.wordprocessingml.footer+xml"/>
  <Default Extension="wmf" ContentType="image/x-wmf"/>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header2.xml" ContentType="application/vnd.openxmlformats-officedocument.wordprocessingml.header+xml"/>
  <Override PartName="/word/settings.xml" ContentType="application/vnd.openxmlformats-officedocument.wordprocessingml.settings+xml"/>
  <Override PartName="/word/charts/chart2.xml" ContentType="application/vnd.openxmlformats-officedocument.drawingml.chart+xml"/>
  <Default Extension="jpeg" ContentType="image/jpeg"/>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E402B0" w:rsidRDefault="00E402B0">
      <w:pPr>
        <w:pStyle w:val="Heading1"/>
      </w:pPr>
      <w:r>
        <w:t>Chapter 9 Project</w:t>
      </w:r>
      <w:proofErr w:type="gramStart"/>
      <w:r>
        <w:t>:   Tropical</w:t>
      </w:r>
      <w:proofErr w:type="gramEnd"/>
      <w:r>
        <w:t xml:space="preserve"> Forests Forever?</w:t>
      </w:r>
    </w:p>
    <w:p w:rsidR="00E402B0" w:rsidRDefault="00E402B0">
      <w:pPr>
        <w:pStyle w:val="Default"/>
      </w:pPr>
    </w:p>
    <w:p w:rsidR="00E402B0" w:rsidRDefault="00E402B0">
      <w:pPr>
        <w:pStyle w:val="Default"/>
        <w:spacing w:line="312" w:lineRule="auto"/>
        <w:rPr>
          <w:b/>
          <w:bCs/>
        </w:rPr>
      </w:pPr>
      <w:r>
        <w:rPr>
          <w:b/>
          <w:bCs/>
        </w:rPr>
        <w:t>Name ____________________________</w:t>
      </w:r>
      <w:r>
        <w:rPr>
          <w:b/>
          <w:bCs/>
        </w:rPr>
        <w:tab/>
        <w:t>Name _________________________</w:t>
      </w:r>
    </w:p>
    <w:p w:rsidR="00E402B0" w:rsidRDefault="00E402B0">
      <w:pPr>
        <w:pStyle w:val="Default"/>
        <w:spacing w:line="312" w:lineRule="auto"/>
        <w:rPr>
          <w:b/>
          <w:bCs/>
        </w:rPr>
      </w:pPr>
    </w:p>
    <w:p w:rsidR="00E402B0" w:rsidRDefault="00E402B0">
      <w:pPr>
        <w:pStyle w:val="Default"/>
        <w:spacing w:line="312" w:lineRule="auto"/>
        <w:rPr>
          <w:b/>
          <w:bCs/>
        </w:rPr>
      </w:pPr>
      <w:r>
        <w:rPr>
          <w:b/>
          <w:bCs/>
        </w:rPr>
        <w:t>Name ____________________________</w:t>
      </w:r>
      <w:r>
        <w:rPr>
          <w:b/>
          <w:bCs/>
        </w:rPr>
        <w:tab/>
        <w:t>Name _________________________</w:t>
      </w:r>
    </w:p>
    <w:p w:rsidR="00E402B0" w:rsidRDefault="00E402B0">
      <w:pPr>
        <w:pStyle w:val="Default"/>
        <w:spacing w:line="312" w:lineRule="auto"/>
        <w:rPr>
          <w:b/>
          <w:bCs/>
        </w:rPr>
      </w:pPr>
    </w:p>
    <w:p w:rsidR="00E402B0" w:rsidRDefault="00E402B0">
      <w:pPr>
        <w:pStyle w:val="Default"/>
        <w:spacing w:line="312" w:lineRule="auto"/>
        <w:rPr>
          <w:vertAlign w:val="superscript"/>
        </w:rPr>
      </w:pPr>
    </w:p>
    <w:p w:rsidR="00E402B0" w:rsidRDefault="00E402B0">
      <w:pPr>
        <w:pStyle w:val="Default"/>
        <w:spacing w:line="312" w:lineRule="auto"/>
        <w:rPr>
          <w:b/>
          <w:u w:val="single"/>
        </w:rPr>
      </w:pPr>
      <w:r>
        <w:rPr>
          <w:b/>
          <w:u w:val="single"/>
        </w:rPr>
        <w:t>Introduction</w:t>
      </w:r>
    </w:p>
    <w:p w:rsidR="00E402B0" w:rsidRDefault="00E402B0">
      <w:pPr>
        <w:pStyle w:val="Default"/>
        <w:spacing w:line="312" w:lineRule="auto"/>
      </w:pPr>
      <w:r>
        <w:t xml:space="preserve">Compared to other major types of ecosystems, tropical forests contain the greatest amount of plant material or plant </w:t>
      </w:r>
      <w:r>
        <w:rPr>
          <w:b/>
          <w:bCs/>
        </w:rPr>
        <w:t>biomass</w:t>
      </w:r>
      <w:r>
        <w:t xml:space="preserve"> per area.  Biomass is defined as the total mass of organisms (plants, animals, and others), both living and dead, in a given area or volume.  Tropical forests have a high plant biomass because of high rainfall, warm temperatures, lack of extreme seasons, and sequences of plants at different heights starting at the forest floor.  There are many ways to express plant biomass, including the total mass or weight of all the vegetation.  In this project, we will just use the mass of carbon found in plants, the </w:t>
      </w:r>
      <w:r>
        <w:rPr>
          <w:b/>
          <w:bCs/>
        </w:rPr>
        <w:t>carbon content</w:t>
      </w:r>
      <w:r>
        <w:t>, as a “proxy for” (i.e. a measure of) plant biomass.</w:t>
      </w:r>
    </w:p>
    <w:p w:rsidR="00E402B0" w:rsidRDefault="00E402B0">
      <w:pPr>
        <w:pStyle w:val="Default"/>
        <w:spacing w:line="312" w:lineRule="auto"/>
        <w:rPr>
          <w:b/>
          <w:bCs/>
          <w:u w:val="single"/>
        </w:rPr>
      </w:pPr>
    </w:p>
    <w:p w:rsidR="00E402B0" w:rsidRDefault="00E402B0">
      <w:pPr>
        <w:pStyle w:val="Default"/>
        <w:spacing w:line="312" w:lineRule="auto"/>
        <w:rPr>
          <w:b/>
          <w:bCs/>
          <w:u w:val="single"/>
        </w:rPr>
      </w:pPr>
      <w:r>
        <w:rPr>
          <w:b/>
          <w:bCs/>
          <w:u w:val="single"/>
        </w:rPr>
        <w:t xml:space="preserve">1.  Calculating hardwood carrying capacity </w:t>
      </w:r>
    </w:p>
    <w:p w:rsidR="00E402B0" w:rsidRDefault="00E402B0">
      <w:pPr>
        <w:pStyle w:val="Default"/>
        <w:spacing w:line="312" w:lineRule="auto"/>
        <w:rPr>
          <w:i/>
          <w:iCs/>
        </w:rPr>
      </w:pPr>
      <w:proofErr w:type="gramStart"/>
      <w:r>
        <w:t>a)   The</w:t>
      </w:r>
      <w:proofErr w:type="gramEnd"/>
      <w:r>
        <w:t xml:space="preserve"> mean (average) plant biomass on 1 square meter of mature tropical forest is approximately 20 kilograms of carbon (20 kg C).</w:t>
      </w:r>
      <w:r>
        <w:rPr>
          <w:rStyle w:val="FootnoteCharacters"/>
        </w:rPr>
        <w:footnoteReference w:customMarkFollows="1" w:id="-1"/>
        <w:t>*</w:t>
      </w:r>
      <w:r>
        <w:t xml:space="preserve"> Larger units of measure will be easier to work with in the up-coming calculations, so start by reconfiguring this number to reflect the amount of plant biomass in </w:t>
      </w:r>
      <w:proofErr w:type="spellStart"/>
      <w:r>
        <w:t>megagrams</w:t>
      </w:r>
      <w:proofErr w:type="spellEnd"/>
      <w:r>
        <w:t xml:space="preserve"> of carbon (Mg C) in 1 hectare of mature tropical forest. Show units and work.  </w:t>
      </w:r>
      <w:r>
        <w:rPr>
          <w:i/>
          <w:iCs/>
        </w:rPr>
        <w:t>Note: 1 hectare = 10,000 m</w:t>
      </w:r>
      <w:r>
        <w:rPr>
          <w:i/>
          <w:iCs/>
          <w:vertAlign w:val="superscript"/>
        </w:rPr>
        <w:t>2</w:t>
      </w:r>
      <w:proofErr w:type="gramStart"/>
      <w:r>
        <w:rPr>
          <w:i/>
          <w:iCs/>
        </w:rPr>
        <w:t>;  1</w:t>
      </w:r>
      <w:proofErr w:type="gramEnd"/>
      <w:r>
        <w:rPr>
          <w:i/>
          <w:iCs/>
        </w:rPr>
        <w:t xml:space="preserve"> Mg = 1,000 kg.</w:t>
      </w:r>
    </w:p>
    <w:p w:rsidR="00E402B0" w:rsidRDefault="00E402B0" w:rsidP="00E402B0">
      <w:pPr>
        <w:pStyle w:val="Default"/>
        <w:spacing w:line="312" w:lineRule="auto"/>
        <w:ind w:firstLine="720"/>
      </w:pPr>
      <w:r>
        <w:t>1m squared=20 Kg C, 1 hectare= 10000m squared</w:t>
      </w:r>
    </w:p>
    <w:p w:rsidR="00E402B0" w:rsidRDefault="003C23EA" w:rsidP="00E402B0">
      <w:pPr>
        <w:pStyle w:val="Default"/>
        <w:spacing w:line="312" w:lineRule="auto"/>
        <w:ind w:firstLine="720"/>
      </w:pPr>
      <w:r>
        <w:t>10000 m squared* 20kgc/1 m squared* 1 mg/1000Kg C= 200,000/1000=200 Mg/hectare</w:t>
      </w: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roofErr w:type="gramStart"/>
      <w:r>
        <w:t>b)   In</w:t>
      </w:r>
      <w:proofErr w:type="gramEnd"/>
      <w:r>
        <w:t xml:space="preserve"> this project you will compare various harvesting or logging strategies in a tropical forest.  One strategy, the clear-cut, essentially removes </w:t>
      </w:r>
      <w:r>
        <w:rPr>
          <w:i/>
          <w:iCs/>
        </w:rPr>
        <w:t>all</w:t>
      </w:r>
      <w:r>
        <w:t xml:space="preserve"> vegetation, while a second strategy, selective logging, removes only some of the valuable hardwood trees.  To make a fair comparison between these two strategies, you will focus on just hardwood removal in both models.  Start by assuming that 80% of tropical forest plant biomass is comprised of hardwoods.  What, then, is the hardwood biomass in 1 hectare of mature tropical forest?  In other words, what is the </w:t>
      </w:r>
      <w:r>
        <w:rPr>
          <w:b/>
          <w:bCs/>
        </w:rPr>
        <w:t>hardwood</w:t>
      </w:r>
      <w:r>
        <w:t xml:space="preserve"> </w:t>
      </w:r>
      <w:r>
        <w:rPr>
          <w:b/>
          <w:bCs/>
        </w:rPr>
        <w:t>carrying capacity</w:t>
      </w:r>
      <w:r>
        <w:t xml:space="preserve"> (</w:t>
      </w:r>
      <w:r>
        <w:rPr>
          <w:i/>
          <w:iCs/>
        </w:rPr>
        <w:t>K</w:t>
      </w:r>
      <w:r>
        <w:t xml:space="preserve">) of 1 hectare of mature tropical forest?       </w:t>
      </w:r>
      <w:r>
        <w:rPr>
          <w:i/>
          <w:iCs/>
        </w:rPr>
        <w:t>K</w:t>
      </w:r>
      <w:r>
        <w:t xml:space="preserve"> = _</w:t>
      </w:r>
      <w:r w:rsidR="003C23EA">
        <w:t>160_</w:t>
      </w:r>
      <w:r>
        <w:t>____ Mg C</w:t>
      </w:r>
    </w:p>
    <w:p w:rsidR="00E402B0" w:rsidRDefault="00E402B0">
      <w:pPr>
        <w:pStyle w:val="Default"/>
        <w:spacing w:line="312" w:lineRule="auto"/>
      </w:pPr>
    </w:p>
    <w:p w:rsidR="00E402B0" w:rsidRDefault="00E402B0">
      <w:pPr>
        <w:pStyle w:val="Default"/>
        <w:spacing w:line="312" w:lineRule="auto"/>
        <w:rPr>
          <w:iCs/>
        </w:rPr>
      </w:pPr>
      <w:proofErr w:type="gramStart"/>
      <w:r>
        <w:t>c)   Suppose</w:t>
      </w:r>
      <w:proofErr w:type="gramEnd"/>
      <w:r>
        <w:t xml:space="preserve"> that hardwoods in a tropical forest have a maximum annual growth rate of </w:t>
      </w:r>
      <w:r w:rsidRPr="00D93713">
        <w:rPr>
          <w:position w:val="-6"/>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pt;height:18.4pt" o:ole="" filled="t">
            <v:fill color2="black"/>
            <v:imagedata r:id="rId6" o:title=""/>
            <v:textbox inset="0,0,0,0"/>
          </v:shape>
          <o:OLEObject Type="Embed" ProgID="MathType" ShapeID="_x0000_i1025" DrawAspect="Content" ObjectID="_1289915009" r:id="rId7"/>
        </w:object>
      </w:r>
      <w:r>
        <w:t xml:space="preserve">.  Write a </w:t>
      </w:r>
      <w:r>
        <w:rPr>
          <w:b/>
          <w:bCs/>
        </w:rPr>
        <w:t>logistic difference equation</w:t>
      </w:r>
      <w:r>
        <w:t xml:space="preserve">, which models the annual growth of hardwoods in 1 hectare of tropical forest.  Use the variables </w:t>
      </w:r>
      <w:r>
        <w:rPr>
          <w:i/>
          <w:iCs/>
        </w:rPr>
        <w:t>h</w:t>
      </w:r>
      <w:r>
        <w:t xml:space="preserve"> and </w:t>
      </w:r>
      <w:r>
        <w:rPr>
          <w:i/>
        </w:rPr>
        <w:t>n</w:t>
      </w:r>
      <w:r>
        <w:rPr>
          <w:iCs/>
        </w:rPr>
        <w:t xml:space="preserve"> to represent hardwood mass and years, respectively.</w:t>
      </w:r>
    </w:p>
    <w:p w:rsidR="00E402B0" w:rsidRDefault="003C23EA">
      <w:pPr>
        <w:pStyle w:val="Default"/>
        <w:spacing w:line="312" w:lineRule="auto"/>
      </w:pPr>
      <w:proofErr w:type="gramStart"/>
      <w:r>
        <w:t>H(</w:t>
      </w:r>
      <w:proofErr w:type="gramEnd"/>
      <w:r>
        <w:t>n)=1.1*H(n-1)-.1/160H(n-1)^2</w:t>
      </w: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Heading2"/>
      </w:pPr>
      <w:r>
        <w:t>2.  The clear-cut</w:t>
      </w:r>
    </w:p>
    <w:p w:rsidR="00E402B0" w:rsidRDefault="00E402B0">
      <w:pPr>
        <w:pStyle w:val="Default"/>
        <w:spacing w:line="312" w:lineRule="auto"/>
      </w:pPr>
      <w:r>
        <w:t xml:space="preserve">The logging practice in which all, or nearly all, of a forest is removed is called </w:t>
      </w:r>
      <w:r>
        <w:rPr>
          <w:b/>
          <w:bCs/>
        </w:rPr>
        <w:t>clear- cutting</w:t>
      </w:r>
      <w:r>
        <w:t xml:space="preserve">.  Sometimes all trees are removed, with no action taken to regenerate the forest. Sometimes all trees are removed and seedlings are planted. Sometimes a few trees are left standing to naturally re-seed the forest. </w:t>
      </w:r>
    </w:p>
    <w:p w:rsidR="00E402B0" w:rsidRDefault="00E402B0">
      <w:pPr>
        <w:pStyle w:val="Default"/>
        <w:spacing w:line="312" w:lineRule="auto"/>
      </w:pPr>
    </w:p>
    <w:p w:rsidR="00E402B0" w:rsidRDefault="00E402B0">
      <w:pPr>
        <w:pStyle w:val="Default"/>
        <w:spacing w:line="312" w:lineRule="auto"/>
      </w:pPr>
      <w:proofErr w:type="gramStart"/>
      <w:r>
        <w:t>a)   Suppose</w:t>
      </w:r>
      <w:proofErr w:type="gramEnd"/>
      <w:r>
        <w:t xml:space="preserve"> that our 1-hectare of mature tropical forest is clear-cut rather thoroughly, leaving only 1.3 Mg C of hardwood biomass. Write this amount as an initial condition:  </w:t>
      </w:r>
    </w:p>
    <w:p w:rsidR="00E402B0" w:rsidRPr="005C12DE" w:rsidRDefault="005C12DE">
      <w:pPr>
        <w:pStyle w:val="Default"/>
        <w:spacing w:line="312" w:lineRule="auto"/>
      </w:pPr>
      <w:proofErr w:type="gramStart"/>
      <w:r>
        <w:t>H(</w:t>
      </w:r>
      <w:proofErr w:type="gramEnd"/>
      <w:r>
        <w:t>0)=1.3 Mg C</w:t>
      </w:r>
    </w:p>
    <w:p w:rsidR="00E402B0" w:rsidRDefault="00E402B0">
      <w:pPr>
        <w:pStyle w:val="Default"/>
        <w:spacing w:line="312" w:lineRule="auto"/>
      </w:pPr>
    </w:p>
    <w:p w:rsidR="00E402B0" w:rsidRDefault="00E402B0">
      <w:pPr>
        <w:pStyle w:val="Default"/>
        <w:spacing w:line="312" w:lineRule="auto"/>
      </w:pPr>
      <w:proofErr w:type="gramStart"/>
      <w:r>
        <w:t>b)   With</w:t>
      </w:r>
      <w:proofErr w:type="gramEnd"/>
      <w:r>
        <w:t xml:space="preserve"> this starting amount, let’s re-grow the hardwood forest.  Enter the difference equation and initial condition into Excel, and create a table listing the amount of hardwood in the forest every 10 years.  (Note: you will want to “run” the difference equation for 150 years but only copy the value </w:t>
      </w:r>
      <w:proofErr w:type="gramStart"/>
      <w:r>
        <w:t xml:space="preserve">of  </w:t>
      </w:r>
      <w:r>
        <w:rPr>
          <w:i/>
        </w:rPr>
        <w:t>h</w:t>
      </w:r>
      <w:proofErr w:type="gramEnd"/>
      <w:r>
        <w:rPr>
          <w:i/>
        </w:rPr>
        <w:t xml:space="preserve">  </w:t>
      </w:r>
      <w:r>
        <w:t>every 10</w:t>
      </w:r>
      <w:r>
        <w:rPr>
          <w:vertAlign w:val="superscript"/>
        </w:rPr>
        <w:t>th</w:t>
      </w:r>
      <w:r>
        <w:t xml:space="preserve"> year.)  Complete the table below (round values to 2 decimal places).</w:t>
      </w:r>
      <w:r>
        <w:br/>
      </w: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tbl>
      <w:tblPr>
        <w:tblW w:w="0" w:type="auto"/>
        <w:tblInd w:w="823" w:type="dxa"/>
        <w:tblLayout w:type="fixed"/>
        <w:tblLook w:val="0000"/>
      </w:tblPr>
      <w:tblGrid>
        <w:gridCol w:w="943"/>
        <w:gridCol w:w="1771"/>
        <w:gridCol w:w="1066"/>
        <w:gridCol w:w="1080"/>
        <w:gridCol w:w="1990"/>
      </w:tblGrid>
      <w:tr w:rsidR="00E402B0">
        <w:tc>
          <w:tcPr>
            <w:tcW w:w="943"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rPr>
                <w:i/>
                <w:iCs/>
              </w:rPr>
            </w:pPr>
            <w:r>
              <w:rPr>
                <w:i/>
                <w:iCs/>
              </w:rPr>
              <w:t>Years</w:t>
            </w:r>
          </w:p>
        </w:tc>
        <w:tc>
          <w:tcPr>
            <w:tcW w:w="1771"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r>
              <w:rPr>
                <w:i/>
                <w:iCs/>
              </w:rPr>
              <w:t>Hardwood</w:t>
            </w:r>
            <w:r>
              <w:t xml:space="preserve"> </w:t>
            </w:r>
            <w:r>
              <w:br/>
              <w:t>(Mg C)</w:t>
            </w:r>
          </w:p>
        </w:tc>
        <w:tc>
          <w:tcPr>
            <w:tcW w:w="1066" w:type="dxa"/>
            <w:tcBorders>
              <w:left w:val="single" w:sz="4" w:space="0" w:color="000000"/>
            </w:tcBorders>
          </w:tcPr>
          <w:p w:rsidR="00E402B0" w:rsidRDefault="00E402B0">
            <w:pPr>
              <w:pStyle w:val="Default"/>
              <w:snapToGrid w:val="0"/>
              <w:spacing w:line="312" w:lineRule="auto"/>
              <w:jc w:val="center"/>
            </w:pPr>
          </w:p>
        </w:tc>
        <w:tc>
          <w:tcPr>
            <w:tcW w:w="108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rPr>
                <w:i/>
                <w:iCs/>
              </w:rPr>
            </w:pPr>
            <w:r>
              <w:rPr>
                <w:i/>
                <w:iCs/>
              </w:rPr>
              <w:t>Years</w:t>
            </w:r>
          </w:p>
        </w:tc>
        <w:tc>
          <w:tcPr>
            <w:tcW w:w="1990" w:type="dxa"/>
            <w:tcBorders>
              <w:top w:val="single" w:sz="4" w:space="0" w:color="000000"/>
              <w:left w:val="single" w:sz="4" w:space="0" w:color="000000"/>
              <w:bottom w:val="single" w:sz="4" w:space="0" w:color="000000"/>
              <w:right w:val="single" w:sz="4" w:space="0" w:color="000000"/>
            </w:tcBorders>
          </w:tcPr>
          <w:p w:rsidR="00E402B0" w:rsidRDefault="00E402B0">
            <w:pPr>
              <w:pStyle w:val="Default"/>
              <w:snapToGrid w:val="0"/>
              <w:spacing w:line="312" w:lineRule="auto"/>
              <w:jc w:val="center"/>
            </w:pPr>
            <w:r>
              <w:rPr>
                <w:i/>
                <w:iCs/>
              </w:rPr>
              <w:t>Hardwood</w:t>
            </w:r>
            <w:r>
              <w:t xml:space="preserve"> </w:t>
            </w:r>
            <w:r>
              <w:br/>
              <w:t>(Mg C)</w:t>
            </w:r>
          </w:p>
        </w:tc>
      </w:tr>
      <w:tr w:rsidR="00DE0EF7">
        <w:tc>
          <w:tcPr>
            <w:tcW w:w="943"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0</w:t>
            </w:r>
          </w:p>
        </w:tc>
        <w:tc>
          <w:tcPr>
            <w:tcW w:w="1771" w:type="dxa"/>
            <w:tcBorders>
              <w:top w:val="single" w:sz="4" w:space="0" w:color="000000"/>
              <w:left w:val="single" w:sz="4" w:space="0" w:color="000000"/>
              <w:bottom w:val="single" w:sz="4" w:space="0" w:color="000000"/>
            </w:tcBorders>
            <w:vAlign w:val="bottom"/>
          </w:tcPr>
          <w:p w:rsidR="00DE0EF7" w:rsidRDefault="00DE0EF7">
            <w:pPr>
              <w:pStyle w:val="Default"/>
              <w:jc w:val="right"/>
              <w:rPr>
                <w:rFonts w:ascii="Verdana" w:hAnsi="Verdana"/>
              </w:rPr>
            </w:pPr>
            <w:r>
              <w:rPr>
                <w:rFonts w:ascii="Verdana" w:hAnsi="Verdana"/>
              </w:rPr>
              <w:t>1.3</w:t>
            </w:r>
          </w:p>
        </w:tc>
        <w:tc>
          <w:tcPr>
            <w:tcW w:w="1066" w:type="dxa"/>
            <w:tcBorders>
              <w:left w:val="single" w:sz="4" w:space="0" w:color="000000"/>
            </w:tcBorders>
          </w:tcPr>
          <w:p w:rsidR="00DE0EF7" w:rsidRDefault="00DE0EF7">
            <w:pPr>
              <w:pStyle w:val="Default"/>
              <w:snapToGrid w:val="0"/>
              <w:spacing w:line="312" w:lineRule="auto"/>
              <w:jc w:val="center"/>
            </w:pPr>
          </w:p>
        </w:tc>
        <w:tc>
          <w:tcPr>
            <w:tcW w:w="1080"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80</w:t>
            </w:r>
          </w:p>
        </w:tc>
        <w:tc>
          <w:tcPr>
            <w:tcW w:w="1990" w:type="dxa"/>
            <w:tcBorders>
              <w:top w:val="single" w:sz="4" w:space="0" w:color="000000"/>
              <w:left w:val="single" w:sz="4" w:space="0" w:color="000000"/>
              <w:bottom w:val="single" w:sz="4" w:space="0" w:color="000000"/>
              <w:right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153.2092921</w:t>
            </w:r>
          </w:p>
          <w:p w:rsidR="00DE0EF7" w:rsidRDefault="00DE0EF7">
            <w:pPr>
              <w:pStyle w:val="Default"/>
              <w:jc w:val="right"/>
              <w:rPr>
                <w:rFonts w:ascii="Verdana" w:hAnsi="Verdana"/>
              </w:rPr>
            </w:pPr>
          </w:p>
        </w:tc>
      </w:tr>
      <w:tr w:rsidR="00DE0EF7">
        <w:tc>
          <w:tcPr>
            <w:tcW w:w="943"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10</w:t>
            </w:r>
          </w:p>
        </w:tc>
        <w:tc>
          <w:tcPr>
            <w:tcW w:w="1771" w:type="dxa"/>
            <w:tcBorders>
              <w:top w:val="single" w:sz="4" w:space="0" w:color="000000"/>
              <w:left w:val="single" w:sz="4" w:space="0" w:color="000000"/>
              <w:bottom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3.332584783</w:t>
            </w:r>
          </w:p>
          <w:p w:rsidR="00DE0EF7" w:rsidRDefault="00DE0EF7">
            <w:pPr>
              <w:pStyle w:val="Default"/>
              <w:jc w:val="right"/>
              <w:rPr>
                <w:rFonts w:ascii="Verdana" w:hAnsi="Verdana"/>
              </w:rPr>
            </w:pPr>
          </w:p>
        </w:tc>
        <w:tc>
          <w:tcPr>
            <w:tcW w:w="1066" w:type="dxa"/>
            <w:tcBorders>
              <w:left w:val="single" w:sz="4" w:space="0" w:color="000000"/>
            </w:tcBorders>
          </w:tcPr>
          <w:p w:rsidR="00DE0EF7" w:rsidRDefault="00DE0EF7">
            <w:pPr>
              <w:pStyle w:val="Default"/>
              <w:snapToGrid w:val="0"/>
              <w:spacing w:line="312" w:lineRule="auto"/>
              <w:jc w:val="center"/>
            </w:pPr>
          </w:p>
        </w:tc>
        <w:tc>
          <w:tcPr>
            <w:tcW w:w="1080"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90</w:t>
            </w:r>
          </w:p>
        </w:tc>
        <w:tc>
          <w:tcPr>
            <w:tcW w:w="1990" w:type="dxa"/>
            <w:tcBorders>
              <w:top w:val="single" w:sz="4" w:space="0" w:color="000000"/>
              <w:left w:val="single" w:sz="4" w:space="0" w:color="000000"/>
              <w:bottom w:val="single" w:sz="4" w:space="0" w:color="000000"/>
              <w:right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157.5574573</w:t>
            </w:r>
          </w:p>
          <w:p w:rsidR="00DE0EF7" w:rsidRDefault="00DE0EF7">
            <w:pPr>
              <w:pStyle w:val="Default"/>
              <w:jc w:val="right"/>
              <w:rPr>
                <w:rFonts w:ascii="Verdana" w:hAnsi="Verdana"/>
              </w:rPr>
            </w:pPr>
          </w:p>
        </w:tc>
      </w:tr>
      <w:tr w:rsidR="00DE0EF7">
        <w:tc>
          <w:tcPr>
            <w:tcW w:w="943"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20</w:t>
            </w:r>
          </w:p>
        </w:tc>
        <w:tc>
          <w:tcPr>
            <w:tcW w:w="1771" w:type="dxa"/>
            <w:tcBorders>
              <w:top w:val="single" w:sz="4" w:space="0" w:color="000000"/>
              <w:left w:val="single" w:sz="4" w:space="0" w:color="000000"/>
              <w:bottom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8.389868783</w:t>
            </w:r>
          </w:p>
          <w:p w:rsidR="00DE0EF7" w:rsidRDefault="00DE0EF7">
            <w:pPr>
              <w:pStyle w:val="Default"/>
              <w:jc w:val="right"/>
              <w:rPr>
                <w:rFonts w:ascii="Verdana" w:hAnsi="Verdana"/>
              </w:rPr>
            </w:pPr>
          </w:p>
        </w:tc>
        <w:tc>
          <w:tcPr>
            <w:tcW w:w="1066" w:type="dxa"/>
            <w:tcBorders>
              <w:left w:val="single" w:sz="4" w:space="0" w:color="000000"/>
            </w:tcBorders>
          </w:tcPr>
          <w:p w:rsidR="00DE0EF7" w:rsidRDefault="00DE0EF7">
            <w:pPr>
              <w:pStyle w:val="Default"/>
              <w:snapToGrid w:val="0"/>
              <w:spacing w:line="312" w:lineRule="auto"/>
              <w:jc w:val="center"/>
            </w:pPr>
          </w:p>
        </w:tc>
        <w:tc>
          <w:tcPr>
            <w:tcW w:w="1080"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100</w:t>
            </w:r>
          </w:p>
        </w:tc>
        <w:tc>
          <w:tcPr>
            <w:tcW w:w="1990" w:type="dxa"/>
            <w:tcBorders>
              <w:top w:val="single" w:sz="4" w:space="0" w:color="000000"/>
              <w:left w:val="single" w:sz="4" w:space="0" w:color="000000"/>
              <w:bottom w:val="single" w:sz="4" w:space="0" w:color="000000"/>
              <w:right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159.1388356</w:t>
            </w:r>
          </w:p>
          <w:p w:rsidR="00DE0EF7" w:rsidRDefault="00DE0EF7">
            <w:pPr>
              <w:pStyle w:val="Default"/>
              <w:jc w:val="right"/>
              <w:rPr>
                <w:rFonts w:ascii="Verdana" w:hAnsi="Verdana"/>
              </w:rPr>
            </w:pPr>
          </w:p>
        </w:tc>
      </w:tr>
      <w:tr w:rsidR="00DE0EF7">
        <w:tc>
          <w:tcPr>
            <w:tcW w:w="943"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30</w:t>
            </w:r>
          </w:p>
        </w:tc>
        <w:tc>
          <w:tcPr>
            <w:tcW w:w="1771" w:type="dxa"/>
            <w:tcBorders>
              <w:top w:val="single" w:sz="4" w:space="0" w:color="000000"/>
              <w:left w:val="single" w:sz="4" w:space="0" w:color="000000"/>
              <w:bottom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20.21332933</w:t>
            </w:r>
          </w:p>
          <w:p w:rsidR="00DE0EF7" w:rsidRDefault="00DE0EF7">
            <w:pPr>
              <w:pStyle w:val="Default"/>
              <w:jc w:val="right"/>
              <w:rPr>
                <w:rFonts w:ascii="Verdana" w:hAnsi="Verdana"/>
              </w:rPr>
            </w:pPr>
          </w:p>
        </w:tc>
        <w:tc>
          <w:tcPr>
            <w:tcW w:w="1066" w:type="dxa"/>
            <w:tcBorders>
              <w:left w:val="single" w:sz="4" w:space="0" w:color="000000"/>
            </w:tcBorders>
          </w:tcPr>
          <w:p w:rsidR="00DE0EF7" w:rsidRDefault="00DE0EF7">
            <w:pPr>
              <w:pStyle w:val="Default"/>
              <w:snapToGrid w:val="0"/>
              <w:spacing w:line="312" w:lineRule="auto"/>
              <w:jc w:val="center"/>
            </w:pPr>
          </w:p>
        </w:tc>
        <w:tc>
          <w:tcPr>
            <w:tcW w:w="1080"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110</w:t>
            </w:r>
          </w:p>
        </w:tc>
        <w:tc>
          <w:tcPr>
            <w:tcW w:w="1990" w:type="dxa"/>
            <w:tcBorders>
              <w:top w:val="single" w:sz="4" w:space="0" w:color="000000"/>
              <w:left w:val="single" w:sz="4" w:space="0" w:color="000000"/>
              <w:bottom w:val="single" w:sz="4" w:space="0" w:color="000000"/>
              <w:right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159.6985569</w:t>
            </w:r>
          </w:p>
          <w:p w:rsidR="00DE0EF7" w:rsidRDefault="00DE0EF7">
            <w:pPr>
              <w:pStyle w:val="Default"/>
              <w:jc w:val="right"/>
              <w:rPr>
                <w:rFonts w:ascii="Verdana" w:hAnsi="Verdana"/>
              </w:rPr>
            </w:pPr>
          </w:p>
        </w:tc>
      </w:tr>
      <w:tr w:rsidR="00DE0EF7">
        <w:tc>
          <w:tcPr>
            <w:tcW w:w="943"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40</w:t>
            </w:r>
          </w:p>
        </w:tc>
        <w:tc>
          <w:tcPr>
            <w:tcW w:w="1771" w:type="dxa"/>
            <w:tcBorders>
              <w:top w:val="single" w:sz="4" w:space="0" w:color="000000"/>
              <w:left w:val="single" w:sz="4" w:space="0" w:color="000000"/>
              <w:bottom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44.19130343</w:t>
            </w:r>
          </w:p>
          <w:p w:rsidR="00DE0EF7" w:rsidRDefault="00DE0EF7">
            <w:pPr>
              <w:pStyle w:val="Default"/>
              <w:jc w:val="right"/>
              <w:rPr>
                <w:rFonts w:ascii="Verdana" w:hAnsi="Verdana"/>
              </w:rPr>
            </w:pPr>
          </w:p>
        </w:tc>
        <w:tc>
          <w:tcPr>
            <w:tcW w:w="1066" w:type="dxa"/>
            <w:tcBorders>
              <w:left w:val="single" w:sz="4" w:space="0" w:color="000000"/>
            </w:tcBorders>
          </w:tcPr>
          <w:p w:rsidR="00DE0EF7" w:rsidRDefault="00DE0EF7">
            <w:pPr>
              <w:pStyle w:val="Default"/>
              <w:snapToGrid w:val="0"/>
              <w:spacing w:line="312" w:lineRule="auto"/>
              <w:jc w:val="center"/>
            </w:pPr>
          </w:p>
        </w:tc>
        <w:tc>
          <w:tcPr>
            <w:tcW w:w="1080"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120</w:t>
            </w:r>
          </w:p>
        </w:tc>
        <w:tc>
          <w:tcPr>
            <w:tcW w:w="1990" w:type="dxa"/>
            <w:tcBorders>
              <w:top w:val="single" w:sz="4" w:space="0" w:color="000000"/>
              <w:left w:val="single" w:sz="4" w:space="0" w:color="000000"/>
              <w:bottom w:val="single" w:sz="4" w:space="0" w:color="000000"/>
              <w:right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159.8947498</w:t>
            </w:r>
          </w:p>
          <w:p w:rsidR="00DE0EF7" w:rsidRDefault="00DE0EF7">
            <w:pPr>
              <w:pStyle w:val="Default"/>
              <w:jc w:val="right"/>
              <w:rPr>
                <w:rFonts w:ascii="Verdana" w:hAnsi="Verdana"/>
              </w:rPr>
            </w:pPr>
          </w:p>
        </w:tc>
      </w:tr>
      <w:tr w:rsidR="00DE0EF7">
        <w:tc>
          <w:tcPr>
            <w:tcW w:w="943"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50</w:t>
            </w:r>
          </w:p>
        </w:tc>
        <w:tc>
          <w:tcPr>
            <w:tcW w:w="1771" w:type="dxa"/>
            <w:tcBorders>
              <w:top w:val="single" w:sz="4" w:space="0" w:color="000000"/>
              <w:left w:val="single" w:sz="4" w:space="0" w:color="000000"/>
              <w:bottom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81.00384733</w:t>
            </w:r>
          </w:p>
          <w:p w:rsidR="00DE0EF7" w:rsidRDefault="00DE0EF7">
            <w:pPr>
              <w:pStyle w:val="Default"/>
              <w:jc w:val="right"/>
              <w:rPr>
                <w:rFonts w:ascii="Verdana" w:hAnsi="Verdana"/>
              </w:rPr>
            </w:pPr>
          </w:p>
        </w:tc>
        <w:tc>
          <w:tcPr>
            <w:tcW w:w="1066" w:type="dxa"/>
            <w:tcBorders>
              <w:left w:val="single" w:sz="4" w:space="0" w:color="000000"/>
            </w:tcBorders>
          </w:tcPr>
          <w:p w:rsidR="00DE0EF7" w:rsidRDefault="00DE0EF7">
            <w:pPr>
              <w:pStyle w:val="Default"/>
              <w:snapToGrid w:val="0"/>
              <w:spacing w:line="312" w:lineRule="auto"/>
              <w:jc w:val="center"/>
            </w:pPr>
          </w:p>
        </w:tc>
        <w:tc>
          <w:tcPr>
            <w:tcW w:w="1080"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130</w:t>
            </w:r>
          </w:p>
        </w:tc>
        <w:tc>
          <w:tcPr>
            <w:tcW w:w="1990" w:type="dxa"/>
            <w:tcBorders>
              <w:top w:val="single" w:sz="4" w:space="0" w:color="000000"/>
              <w:left w:val="single" w:sz="4" w:space="0" w:color="000000"/>
              <w:bottom w:val="single" w:sz="4" w:space="0" w:color="000000"/>
              <w:right w:val="single" w:sz="4" w:space="0" w:color="000000"/>
            </w:tcBorders>
            <w:vAlign w:val="bottom"/>
          </w:tcPr>
          <w:p w:rsidR="00552637" w:rsidRPr="00552637" w:rsidRDefault="00552637" w:rsidP="00552637">
            <w:pPr>
              <w:pStyle w:val="Default"/>
              <w:suppressAutoHyphens w:val="0"/>
              <w:jc w:val="right"/>
              <w:rPr>
                <w:rFonts w:ascii="Verdana" w:hAnsi="Verdana"/>
                <w:sz w:val="20"/>
                <w:lang w:eastAsia="en-US"/>
              </w:rPr>
            </w:pPr>
            <w:r w:rsidRPr="00552637">
              <w:rPr>
                <w:rFonts w:ascii="Verdana" w:hAnsi="Verdana"/>
                <w:sz w:val="20"/>
                <w:lang w:eastAsia="en-US"/>
              </w:rPr>
              <w:t>159.963284</w:t>
            </w:r>
          </w:p>
          <w:p w:rsidR="00DE0EF7" w:rsidRDefault="00DE0EF7">
            <w:pPr>
              <w:pStyle w:val="Default"/>
              <w:jc w:val="right"/>
              <w:rPr>
                <w:rFonts w:ascii="Verdana" w:hAnsi="Verdana"/>
              </w:rPr>
            </w:pPr>
          </w:p>
        </w:tc>
      </w:tr>
      <w:tr w:rsidR="00DE0EF7">
        <w:tc>
          <w:tcPr>
            <w:tcW w:w="943"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60</w:t>
            </w:r>
          </w:p>
        </w:tc>
        <w:tc>
          <w:tcPr>
            <w:tcW w:w="1771" w:type="dxa"/>
            <w:tcBorders>
              <w:top w:val="single" w:sz="4" w:space="0" w:color="000000"/>
              <w:left w:val="single" w:sz="4" w:space="0" w:color="000000"/>
              <w:bottom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118.1437151</w:t>
            </w:r>
          </w:p>
          <w:p w:rsidR="00DE0EF7" w:rsidRDefault="00DE0EF7">
            <w:pPr>
              <w:pStyle w:val="Default"/>
              <w:jc w:val="right"/>
              <w:rPr>
                <w:rFonts w:ascii="Verdana" w:hAnsi="Verdana"/>
              </w:rPr>
            </w:pPr>
          </w:p>
        </w:tc>
        <w:tc>
          <w:tcPr>
            <w:tcW w:w="1066" w:type="dxa"/>
            <w:tcBorders>
              <w:left w:val="single" w:sz="4" w:space="0" w:color="000000"/>
            </w:tcBorders>
          </w:tcPr>
          <w:p w:rsidR="00DE0EF7" w:rsidRDefault="00DE0EF7">
            <w:pPr>
              <w:pStyle w:val="Default"/>
              <w:snapToGrid w:val="0"/>
              <w:spacing w:line="312" w:lineRule="auto"/>
              <w:jc w:val="center"/>
            </w:pPr>
          </w:p>
        </w:tc>
        <w:tc>
          <w:tcPr>
            <w:tcW w:w="1080"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140</w:t>
            </w:r>
          </w:p>
        </w:tc>
        <w:tc>
          <w:tcPr>
            <w:tcW w:w="1990" w:type="dxa"/>
            <w:tcBorders>
              <w:top w:val="single" w:sz="4" w:space="0" w:color="000000"/>
              <w:left w:val="single" w:sz="4" w:space="0" w:color="000000"/>
              <w:bottom w:val="single" w:sz="4" w:space="0" w:color="000000"/>
              <w:right w:val="single" w:sz="4" w:space="0" w:color="000000"/>
            </w:tcBorders>
            <w:vAlign w:val="bottom"/>
          </w:tcPr>
          <w:p w:rsidR="00552637" w:rsidRPr="00552637" w:rsidRDefault="00552637" w:rsidP="00552637">
            <w:pPr>
              <w:pStyle w:val="Default"/>
              <w:suppressAutoHyphens w:val="0"/>
              <w:jc w:val="right"/>
              <w:rPr>
                <w:rFonts w:ascii="Verdana" w:hAnsi="Verdana"/>
                <w:sz w:val="20"/>
                <w:lang w:eastAsia="en-US"/>
              </w:rPr>
            </w:pPr>
            <w:r w:rsidRPr="00552637">
              <w:rPr>
                <w:rFonts w:ascii="Verdana" w:hAnsi="Verdana"/>
                <w:sz w:val="20"/>
                <w:lang w:eastAsia="en-US"/>
              </w:rPr>
              <w:t>159.9871958</w:t>
            </w:r>
          </w:p>
          <w:p w:rsidR="00DE0EF7" w:rsidRDefault="00DE0EF7">
            <w:pPr>
              <w:pStyle w:val="Default"/>
              <w:jc w:val="right"/>
              <w:rPr>
                <w:rFonts w:ascii="Verdana" w:hAnsi="Verdana"/>
              </w:rPr>
            </w:pPr>
          </w:p>
        </w:tc>
      </w:tr>
      <w:tr w:rsidR="00DE0EF7">
        <w:tc>
          <w:tcPr>
            <w:tcW w:w="943"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70</w:t>
            </w:r>
          </w:p>
        </w:tc>
        <w:tc>
          <w:tcPr>
            <w:tcW w:w="1771" w:type="dxa"/>
            <w:tcBorders>
              <w:top w:val="single" w:sz="4" w:space="0" w:color="000000"/>
              <w:left w:val="single" w:sz="4" w:space="0" w:color="000000"/>
              <w:bottom w:val="single" w:sz="4" w:space="0" w:color="000000"/>
            </w:tcBorders>
            <w:vAlign w:val="bottom"/>
          </w:tcPr>
          <w:p w:rsidR="00665C8E"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142.08807</w:t>
            </w:r>
          </w:p>
          <w:p w:rsidR="00DE0EF7" w:rsidRPr="00665C8E" w:rsidRDefault="00665C8E" w:rsidP="00665C8E">
            <w:pPr>
              <w:pStyle w:val="Default"/>
              <w:suppressAutoHyphens w:val="0"/>
              <w:jc w:val="right"/>
              <w:rPr>
                <w:rFonts w:ascii="Verdana" w:hAnsi="Verdana"/>
                <w:sz w:val="20"/>
                <w:lang w:eastAsia="en-US"/>
              </w:rPr>
            </w:pPr>
            <w:r w:rsidRPr="00665C8E">
              <w:rPr>
                <w:rFonts w:ascii="Verdana" w:hAnsi="Verdana"/>
                <w:sz w:val="20"/>
                <w:lang w:eastAsia="en-US"/>
              </w:rPr>
              <w:t>142.08807</w:t>
            </w:r>
          </w:p>
        </w:tc>
        <w:tc>
          <w:tcPr>
            <w:tcW w:w="1066" w:type="dxa"/>
            <w:tcBorders>
              <w:left w:val="single" w:sz="4" w:space="0" w:color="000000"/>
            </w:tcBorders>
          </w:tcPr>
          <w:p w:rsidR="00DE0EF7" w:rsidRDefault="00DE0EF7">
            <w:pPr>
              <w:pStyle w:val="Default"/>
              <w:snapToGrid w:val="0"/>
              <w:spacing w:line="312" w:lineRule="auto"/>
              <w:jc w:val="center"/>
            </w:pPr>
          </w:p>
        </w:tc>
        <w:tc>
          <w:tcPr>
            <w:tcW w:w="1080" w:type="dxa"/>
            <w:tcBorders>
              <w:top w:val="single" w:sz="4" w:space="0" w:color="000000"/>
              <w:left w:val="single" w:sz="4" w:space="0" w:color="000000"/>
              <w:bottom w:val="single" w:sz="4" w:space="0" w:color="000000"/>
            </w:tcBorders>
          </w:tcPr>
          <w:p w:rsidR="00DE0EF7" w:rsidRDefault="00DE0EF7">
            <w:pPr>
              <w:pStyle w:val="Default"/>
              <w:snapToGrid w:val="0"/>
              <w:spacing w:line="312" w:lineRule="auto"/>
              <w:jc w:val="center"/>
            </w:pPr>
            <w:r>
              <w:t>150</w:t>
            </w:r>
          </w:p>
        </w:tc>
        <w:tc>
          <w:tcPr>
            <w:tcW w:w="1990" w:type="dxa"/>
            <w:tcBorders>
              <w:top w:val="single" w:sz="4" w:space="0" w:color="000000"/>
              <w:left w:val="single" w:sz="4" w:space="0" w:color="000000"/>
              <w:bottom w:val="single" w:sz="4" w:space="0" w:color="000000"/>
              <w:right w:val="single" w:sz="4" w:space="0" w:color="000000"/>
            </w:tcBorders>
            <w:vAlign w:val="bottom"/>
          </w:tcPr>
          <w:p w:rsidR="00DE0EF7" w:rsidRPr="00552637" w:rsidRDefault="00552637" w:rsidP="00552637">
            <w:pPr>
              <w:pStyle w:val="Default"/>
              <w:suppressAutoHyphens w:val="0"/>
              <w:jc w:val="right"/>
              <w:rPr>
                <w:rFonts w:ascii="Verdana" w:hAnsi="Verdana"/>
                <w:sz w:val="20"/>
                <w:lang w:eastAsia="en-US"/>
              </w:rPr>
            </w:pPr>
            <w:r w:rsidRPr="00552637">
              <w:rPr>
                <w:rFonts w:ascii="Verdana" w:hAnsi="Verdana"/>
                <w:sz w:val="20"/>
                <w:lang w:eastAsia="en-US"/>
              </w:rPr>
              <w:t>159.9955352</w:t>
            </w:r>
          </w:p>
        </w:tc>
      </w:tr>
    </w:tbl>
    <w:p w:rsidR="00E402B0" w:rsidRDefault="00E402B0">
      <w:pPr>
        <w:pStyle w:val="Default"/>
        <w:spacing w:line="312" w:lineRule="auto"/>
      </w:pPr>
    </w:p>
    <w:p w:rsidR="00E402B0" w:rsidRDefault="00E402B0">
      <w:pPr>
        <w:pStyle w:val="Default"/>
        <w:spacing w:line="312" w:lineRule="auto"/>
      </w:pPr>
      <w:proofErr w:type="gramStart"/>
      <w:r>
        <w:t>c)   Generate</w:t>
      </w:r>
      <w:proofErr w:type="gramEnd"/>
      <w:r>
        <w:t xml:space="preserve"> a scatter plot of the solution of the logistic equation over 150 years vs. the number of years, and add another constant scatter plot at the value of  K =  carrying capacity.   Copy and paste your graph from Excel into this Word document here: </w:t>
      </w:r>
    </w:p>
    <w:p w:rsidR="00E402B0" w:rsidRDefault="006E6293">
      <w:pPr>
        <w:pStyle w:val="Default"/>
        <w:spacing w:line="312" w:lineRule="auto"/>
      </w:pPr>
      <w:r>
        <w:rPr>
          <w:noProof/>
          <w:lang w:eastAsia="en-US"/>
        </w:rPr>
        <w:drawing>
          <wp:inline distT="0" distB="0" distL="0" distR="0">
            <wp:extent cx="5225149" cy="3720719"/>
            <wp:effectExtent l="11607" t="6096" r="5804" b="1905"/>
            <wp:docPr id="2" name="C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02B0" w:rsidRDefault="00E402B0">
      <w:pPr>
        <w:pStyle w:val="Default"/>
        <w:spacing w:line="312" w:lineRule="auto"/>
      </w:pPr>
    </w:p>
    <w:p w:rsidR="00E402B0" w:rsidRDefault="00E402B0">
      <w:pPr>
        <w:pStyle w:val="Default"/>
        <w:spacing w:line="312" w:lineRule="auto"/>
        <w:rPr>
          <w:b/>
          <w:bCs/>
          <w:u w:val="single"/>
        </w:rPr>
      </w:pPr>
    </w:p>
    <w:p w:rsidR="00E402B0" w:rsidRDefault="00E402B0">
      <w:pPr>
        <w:pStyle w:val="Default"/>
        <w:spacing w:line="312" w:lineRule="auto"/>
      </w:pPr>
    </w:p>
    <w:p w:rsidR="00E402B0" w:rsidRDefault="00E402B0">
      <w:pPr>
        <w:pStyle w:val="Default"/>
        <w:spacing w:line="312" w:lineRule="auto"/>
      </w:pPr>
      <w:proofErr w:type="gramStart"/>
      <w:r>
        <w:t>d)   Assume</w:t>
      </w:r>
      <w:proofErr w:type="gramEnd"/>
      <w:r>
        <w:t xml:space="preserve"> that the forest is fully restored when the hardwood amount is at least 99% of the hardwood carrying capacity.  What level of carbon is this?                      </w:t>
      </w:r>
    </w:p>
    <w:p w:rsidR="00E402B0" w:rsidRDefault="00F843BD">
      <w:pPr>
        <w:pStyle w:val="Default"/>
        <w:spacing w:line="312" w:lineRule="auto"/>
      </w:pPr>
      <w:r>
        <w:t>That would be 158.4 mega grams of carbon.</w:t>
      </w:r>
    </w:p>
    <w:p w:rsidR="00E402B0" w:rsidRDefault="00E402B0">
      <w:pPr>
        <w:pStyle w:val="Default"/>
        <w:spacing w:line="312" w:lineRule="auto"/>
      </w:pPr>
      <w:proofErr w:type="gramStart"/>
      <w:r>
        <w:t>e)   The</w:t>
      </w:r>
      <w:proofErr w:type="gramEnd"/>
      <w:r>
        <w:t xml:space="preserve"> time it takes for the tropical forest to grow back to the 99% level is called the </w:t>
      </w:r>
      <w:r>
        <w:rPr>
          <w:b/>
          <w:bCs/>
        </w:rPr>
        <w:t>recovery time</w:t>
      </w:r>
      <w:r>
        <w:t xml:space="preserve">.  Use a table of values to determine the recovery time </w:t>
      </w:r>
      <w:proofErr w:type="gramStart"/>
      <w:r>
        <w:t xml:space="preserve">( </w:t>
      </w:r>
      <w:r>
        <w:rPr>
          <w:i/>
          <w:iCs/>
        </w:rPr>
        <w:t>T</w:t>
      </w:r>
      <w:proofErr w:type="gramEnd"/>
      <w:r>
        <w:rPr>
          <w:i/>
          <w:iCs/>
        </w:rPr>
        <w:t xml:space="preserve"> )</w:t>
      </w:r>
      <w:r>
        <w:rPr>
          <w:iCs/>
        </w:rPr>
        <w:t xml:space="preserve"> to the nearest year</w:t>
      </w:r>
      <w:r>
        <w:t>.</w:t>
      </w:r>
      <w:r>
        <w:rPr>
          <w:i/>
          <w:iCs/>
        </w:rPr>
        <w:t xml:space="preserve"> </w:t>
      </w:r>
      <w:r>
        <w:t xml:space="preserve">  </w:t>
      </w:r>
      <w:r>
        <w:rPr>
          <w:i/>
          <w:iCs/>
        </w:rPr>
        <w:t>T</w:t>
      </w:r>
      <w:r>
        <w:t xml:space="preserve"> = __</w:t>
      </w:r>
      <w:r w:rsidR="00F843BD">
        <w:t>94</w:t>
      </w:r>
      <w:r>
        <w:t>__ years.</w:t>
      </w:r>
    </w:p>
    <w:p w:rsidR="00E402B0" w:rsidRDefault="00E402B0">
      <w:pPr>
        <w:pStyle w:val="Default"/>
        <w:spacing w:line="312" w:lineRule="auto"/>
        <w:rPr>
          <w:b/>
          <w:bCs/>
          <w:u w:val="single"/>
        </w:rPr>
      </w:pPr>
    </w:p>
    <w:p w:rsidR="00E402B0" w:rsidRDefault="00E402B0">
      <w:pPr>
        <w:pStyle w:val="Default"/>
        <w:spacing w:line="312" w:lineRule="auto"/>
        <w:rPr>
          <w:b/>
          <w:bCs/>
          <w:u w:val="single"/>
        </w:rPr>
      </w:pPr>
      <w:r>
        <w:rPr>
          <w:b/>
          <w:bCs/>
          <w:u w:val="single"/>
        </w:rPr>
        <w:t>3.  Selective logging</w:t>
      </w:r>
    </w:p>
    <w:p w:rsidR="00E402B0" w:rsidRDefault="00E402B0">
      <w:pPr>
        <w:pStyle w:val="Default"/>
        <w:spacing w:line="312" w:lineRule="auto"/>
      </w:pPr>
      <w:r>
        <w:t xml:space="preserve">A second strategy for logging is to harvest only selected trees in the forest.  </w:t>
      </w:r>
      <w:r>
        <w:rPr>
          <w:b/>
          <w:bCs/>
        </w:rPr>
        <w:t>Selective logging</w:t>
      </w:r>
      <w:r>
        <w:t xml:space="preserve"> usually targets the mature trees in the forest that will yield the most lumber or wood products for the least amount of effort.  Sometimes younger trees will be harvested, if older trees are crowding them out, and sometimes certain species of trees (for example, mahogany) will be selected, regardless of age, for their economic value.</w:t>
      </w:r>
    </w:p>
    <w:p w:rsidR="00E402B0" w:rsidRDefault="00E402B0">
      <w:pPr>
        <w:pStyle w:val="Default"/>
        <w:spacing w:line="312" w:lineRule="auto"/>
      </w:pPr>
      <w:r>
        <w:br/>
      </w:r>
    </w:p>
    <w:p w:rsidR="00E402B0" w:rsidRDefault="00E402B0">
      <w:pPr>
        <w:pStyle w:val="Default"/>
        <w:pageBreakBefore/>
        <w:spacing w:line="312" w:lineRule="auto"/>
        <w:rPr>
          <w:u w:val="single"/>
        </w:rPr>
      </w:pPr>
      <w:r>
        <w:rPr>
          <w:u w:val="single"/>
        </w:rPr>
        <w:t>Selective logging strategy #1</w:t>
      </w:r>
    </w:p>
    <w:p w:rsidR="00E402B0" w:rsidRDefault="00E402B0">
      <w:pPr>
        <w:pStyle w:val="Default"/>
        <w:spacing w:line="312" w:lineRule="auto"/>
      </w:pPr>
      <w:proofErr w:type="gramStart"/>
      <w:r>
        <w:t>a)   Suppose</w:t>
      </w:r>
      <w:proofErr w:type="gramEnd"/>
      <w:r>
        <w:t xml:space="preserve"> the 1-hectare plot of tropical forest is mature, with the hardwoods at their carrying capacity.  This means that the initial condition is </w:t>
      </w:r>
      <w:r w:rsidRPr="00D93713">
        <w:rPr>
          <w:position w:val="-4"/>
        </w:rPr>
        <w:object w:dxaOrig="680" w:dyaOrig="320">
          <v:shape id="_x0000_i1026" type="#_x0000_t75" style="width:34.4pt;height:16pt" o:ole="" filled="t">
            <v:fill color2="black"/>
            <v:imagedata r:id="rId9" o:title=""/>
            <v:textbox inset="0,0,0,0"/>
          </v:shape>
          <o:OLEObject Type="Embed" ProgID="MathType" ShapeID="_x0000_i1026" DrawAspect="Content" ObjectID="_1289915010" r:id="rId10"/>
        </w:object>
      </w:r>
      <w:r>
        <w:t>___</w:t>
      </w:r>
      <w:r w:rsidR="00251EC9">
        <w:t>160</w:t>
      </w:r>
      <w:r w:rsidR="00F843BD">
        <w:t xml:space="preserve"> Mg C_</w:t>
      </w:r>
      <w:r>
        <w:t>_____.</w:t>
      </w:r>
    </w:p>
    <w:p w:rsidR="00E402B0" w:rsidRDefault="00E402B0">
      <w:pPr>
        <w:pStyle w:val="Default"/>
        <w:spacing w:line="312" w:lineRule="auto"/>
      </w:pPr>
      <w:r>
        <w:br/>
      </w:r>
      <w:proofErr w:type="gramStart"/>
      <w:r>
        <w:t>b)   Now</w:t>
      </w:r>
      <w:proofErr w:type="gramEnd"/>
      <w:r>
        <w:t xml:space="preserve"> suppose that 3.2 Mg C of hardwoods are removed each year (about 1 mature tree).  Modify the logistic difference equation to reflect the growth of the hardwoods with this annual harvest.  What is the new equation?  </w:t>
      </w:r>
    </w:p>
    <w:p w:rsidR="00E402B0" w:rsidRDefault="00F843BD">
      <w:pPr>
        <w:pStyle w:val="Default"/>
        <w:spacing w:line="312" w:lineRule="auto"/>
      </w:pPr>
      <w:proofErr w:type="gramStart"/>
      <w:r>
        <w:t>H(</w:t>
      </w:r>
      <w:proofErr w:type="gramEnd"/>
      <w:r>
        <w:t>n)=1.1*H(n-1)-.1/160H(n-1)^2-3.2</w:t>
      </w:r>
    </w:p>
    <w:p w:rsidR="00F843BD" w:rsidRDefault="00F843BD">
      <w:pPr>
        <w:pStyle w:val="Default"/>
        <w:spacing w:line="312" w:lineRule="auto"/>
      </w:pPr>
    </w:p>
    <w:p w:rsidR="00E402B0" w:rsidRDefault="00E402B0">
      <w:pPr>
        <w:pStyle w:val="Default"/>
        <w:spacing w:line="312" w:lineRule="auto"/>
      </w:pPr>
      <w:proofErr w:type="gramStart"/>
      <w:r>
        <w:t>c)   Use</w:t>
      </w:r>
      <w:proofErr w:type="gramEnd"/>
      <w:r>
        <w:t xml:space="preserve"> Excel to investigate what happens to the hardwood biomass in the long run, based upon this selective logging strategy #1. Explain what you find.</w:t>
      </w:r>
    </w:p>
    <w:p w:rsidR="00E402B0" w:rsidRPr="00251EC9" w:rsidRDefault="00251EC9">
      <w:pPr>
        <w:pStyle w:val="Default"/>
        <w:spacing w:line="312" w:lineRule="auto"/>
      </w:pPr>
      <w:r w:rsidRPr="00251EC9">
        <w:t>Overtime the levels of Car</w:t>
      </w:r>
      <w:r>
        <w:t>bon will level off at 115 Mg C.</w:t>
      </w:r>
    </w:p>
    <w:p w:rsidR="00E402B0" w:rsidRDefault="00E402B0">
      <w:pPr>
        <w:pStyle w:val="Default"/>
        <w:spacing w:line="312" w:lineRule="auto"/>
        <w:rPr>
          <w:u w:val="single"/>
        </w:rPr>
      </w:pPr>
    </w:p>
    <w:p w:rsidR="00E402B0" w:rsidRDefault="00E402B0">
      <w:pPr>
        <w:pStyle w:val="Default"/>
        <w:spacing w:line="312" w:lineRule="auto"/>
        <w:rPr>
          <w:u w:val="single"/>
        </w:rPr>
      </w:pPr>
    </w:p>
    <w:p w:rsidR="00E402B0" w:rsidRDefault="00E402B0">
      <w:pPr>
        <w:pStyle w:val="Default"/>
        <w:spacing w:line="312" w:lineRule="auto"/>
        <w:rPr>
          <w:u w:val="single"/>
        </w:rPr>
      </w:pPr>
    </w:p>
    <w:p w:rsidR="00E402B0" w:rsidRDefault="00E402B0">
      <w:pPr>
        <w:pStyle w:val="Default"/>
        <w:spacing w:line="312" w:lineRule="auto"/>
        <w:rPr>
          <w:u w:val="single"/>
        </w:rPr>
      </w:pPr>
    </w:p>
    <w:p w:rsidR="00E402B0" w:rsidRDefault="00E402B0">
      <w:pPr>
        <w:pStyle w:val="Default"/>
        <w:spacing w:line="312" w:lineRule="auto"/>
      </w:pPr>
      <w:r>
        <w:rPr>
          <w:u w:val="single"/>
        </w:rPr>
        <w:t>Selective logging strategy #2</w:t>
      </w:r>
      <w:r>
        <w:br/>
        <w:t>d</w:t>
      </w:r>
      <w:proofErr w:type="gramStart"/>
      <w:r>
        <w:t>)  Again</w:t>
      </w:r>
      <w:proofErr w:type="gramEnd"/>
      <w:r>
        <w:t xml:space="preserve"> suppose that the 1-hectare plot of tropical forest is mature, with the hardwoods at their carrying capacity, i.e. </w:t>
      </w:r>
      <w:r w:rsidRPr="00D93713">
        <w:rPr>
          <w:position w:val="-4"/>
        </w:rPr>
        <w:object w:dxaOrig="680" w:dyaOrig="320">
          <v:shape id="_x0000_i1027" type="#_x0000_t75" style="width:34.4pt;height:16pt" o:ole="" filled="t">
            <v:fill color2="black"/>
            <v:imagedata r:id="rId11" o:title=""/>
            <v:textbox inset="0,0,0,0"/>
          </v:shape>
          <o:OLEObject Type="Embed" ProgID="MathType" ShapeID="_x0000_i1027" DrawAspect="Content" ObjectID="_1289915011" r:id="rId12"/>
        </w:object>
      </w:r>
      <w:r>
        <w:t>____</w:t>
      </w:r>
      <w:r w:rsidR="00251EC9">
        <w:t>160 Mg C</w:t>
      </w:r>
      <w:r>
        <w:t>____________.</w:t>
      </w:r>
    </w:p>
    <w:p w:rsidR="00E402B0" w:rsidRDefault="00E402B0">
      <w:pPr>
        <w:pStyle w:val="Default"/>
        <w:spacing w:line="312" w:lineRule="auto"/>
      </w:pPr>
    </w:p>
    <w:p w:rsidR="00E402B0" w:rsidRDefault="00E402B0">
      <w:pPr>
        <w:pStyle w:val="Default"/>
        <w:spacing w:line="312" w:lineRule="auto"/>
      </w:pPr>
      <w:proofErr w:type="gramStart"/>
      <w:r>
        <w:t>e)  What</w:t>
      </w:r>
      <w:proofErr w:type="gramEnd"/>
      <w:r>
        <w:t xml:space="preserve"> if the annual harvest is 6.4 Mg C of hardwoods—double the previous number or about 2 mature trees?  What is the new difference equation?  </w:t>
      </w:r>
    </w:p>
    <w:p w:rsidR="00251EC9" w:rsidRDefault="00251EC9" w:rsidP="00251EC9">
      <w:pPr>
        <w:pStyle w:val="Default"/>
        <w:spacing w:line="312" w:lineRule="auto"/>
      </w:pPr>
      <w:proofErr w:type="gramStart"/>
      <w:r>
        <w:t>H(</w:t>
      </w:r>
      <w:proofErr w:type="gramEnd"/>
      <w:r>
        <w:t>n)=1.1*H(n-1)-.1/160H(n-1)^2-6.4</w:t>
      </w: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Pr="009A1255" w:rsidRDefault="00E402B0">
      <w:pPr>
        <w:pStyle w:val="Default"/>
        <w:spacing w:line="312" w:lineRule="auto"/>
        <w:rPr>
          <w:i/>
          <w:iCs/>
        </w:rPr>
      </w:pPr>
      <w:proofErr w:type="gramStart"/>
      <w:r>
        <w:t>f)  Again</w:t>
      </w:r>
      <w:proofErr w:type="gramEnd"/>
      <w:r>
        <w:t xml:space="preserve"> use Excel to explore what happens to hardwood biomass in the long run.  Describe what happens to hardwood biomass over time.  </w:t>
      </w:r>
      <w:r>
        <w:rPr>
          <w:i/>
          <w:iCs/>
        </w:rPr>
        <w:t>Hint: while investigating this difference equation, you may get an overflow message, which means that a calculated value became too large or too small for the device to work with.  If this is the case, you’ll need to investigate</w:t>
      </w:r>
      <w:r w:rsidR="009A1255">
        <w:rPr>
          <w:i/>
          <w:iCs/>
        </w:rPr>
        <w:t xml:space="preserve"> n </w:t>
      </w:r>
      <w:proofErr w:type="gramStart"/>
      <w:r w:rsidR="009A1255">
        <w:rPr>
          <w:i/>
          <w:iCs/>
        </w:rPr>
        <w:t>values which</w:t>
      </w:r>
      <w:proofErr w:type="gramEnd"/>
      <w:r w:rsidR="009A1255">
        <w:rPr>
          <w:i/>
          <w:iCs/>
        </w:rPr>
        <w:t xml:space="preserve"> are not so larg</w:t>
      </w:r>
      <w:r w:rsidR="006E6293">
        <w:rPr>
          <w:noProof/>
          <w:lang w:eastAsia="en-US"/>
        </w:rPr>
        <w:drawing>
          <wp:inline distT="0" distB="0" distL="0" distR="0">
            <wp:extent cx="5488432" cy="3699891"/>
            <wp:effectExtent l="12192" t="6096" r="6096" b="2413"/>
            <wp:docPr id="5" name="C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02B0" w:rsidRDefault="00E402B0">
      <w:pPr>
        <w:pStyle w:val="Default"/>
        <w:pageBreakBefore/>
        <w:spacing w:line="312" w:lineRule="auto"/>
        <w:rPr>
          <w:i/>
        </w:rPr>
      </w:pPr>
      <w:proofErr w:type="gramStart"/>
      <w:r>
        <w:t>g)   Use</w:t>
      </w:r>
      <w:proofErr w:type="gramEnd"/>
      <w:r>
        <w:t xml:space="preserve"> Excel to generate two </w:t>
      </w:r>
      <w:proofErr w:type="spellStart"/>
      <w:r>
        <w:t>scatterplots</w:t>
      </w:r>
      <w:proofErr w:type="spellEnd"/>
      <w:r>
        <w:t xml:space="preserve"> (using different colors) to illustrate how the hardwood biomass will change over time under these two selective logging strategies. Label the graphs clearly. </w:t>
      </w:r>
      <w:r>
        <w:rPr>
          <w:i/>
        </w:rPr>
        <w:t xml:space="preserve">Use the </w:t>
      </w:r>
      <w:r>
        <w:rPr>
          <w:bCs/>
          <w:i/>
        </w:rPr>
        <w:t>same horizontal and vertical scales</w:t>
      </w:r>
      <w:r>
        <w:rPr>
          <w:b/>
          <w:bCs/>
          <w:i/>
        </w:rPr>
        <w:t xml:space="preserve"> </w:t>
      </w:r>
      <w:r>
        <w:rPr>
          <w:i/>
        </w:rPr>
        <w:t>that were</w:t>
      </w:r>
      <w:r>
        <w:rPr>
          <w:b/>
          <w:bCs/>
          <w:i/>
        </w:rPr>
        <w:t xml:space="preserve"> </w:t>
      </w:r>
      <w:r>
        <w:rPr>
          <w:i/>
        </w:rPr>
        <w:t>used on the clear-cut graph</w:t>
      </w:r>
      <w:r>
        <w:t>.  Copy and paste here</w:t>
      </w:r>
      <w:r>
        <w:rPr>
          <w:i/>
        </w:rPr>
        <w:t>:</w:t>
      </w:r>
    </w:p>
    <w:p w:rsidR="00E402B0" w:rsidRDefault="00E402B0">
      <w:pPr>
        <w:pStyle w:val="Endnote"/>
        <w:spacing w:line="312" w:lineRule="auto"/>
      </w:pPr>
    </w:p>
    <w:p w:rsidR="00E402B0" w:rsidRDefault="00380108">
      <w:pPr>
        <w:pStyle w:val="Default"/>
        <w:spacing w:line="312" w:lineRule="auto"/>
      </w:pPr>
      <w:r w:rsidRPr="00380108">
        <w:drawing>
          <wp:inline distT="0" distB="0" distL="0" distR="0">
            <wp:extent cx="5486400" cy="4142740"/>
            <wp:effectExtent l="25400" t="25400" r="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02B0" w:rsidRDefault="00E402B0">
      <w:pPr>
        <w:pStyle w:val="Default"/>
        <w:spacing w:line="312" w:lineRule="auto"/>
        <w:rPr>
          <w:b/>
          <w:bCs/>
          <w:u w:val="single"/>
        </w:rPr>
      </w:pPr>
    </w:p>
    <w:p w:rsidR="00E402B0" w:rsidRDefault="00E402B0">
      <w:pPr>
        <w:pStyle w:val="Default"/>
        <w:spacing w:line="312" w:lineRule="auto"/>
        <w:rPr>
          <w:b/>
          <w:bCs/>
          <w:u w:val="single"/>
        </w:rPr>
      </w:pPr>
      <w:r>
        <w:rPr>
          <w:b/>
          <w:bCs/>
          <w:u w:val="single"/>
        </w:rPr>
        <w:t>4.  Equilibrium values</w:t>
      </w:r>
    </w:p>
    <w:p w:rsidR="00E402B0" w:rsidRDefault="00E402B0">
      <w:pPr>
        <w:pStyle w:val="Default"/>
        <w:spacing w:line="312" w:lineRule="auto"/>
        <w:rPr>
          <w:i/>
          <w:iCs/>
        </w:rPr>
      </w:pPr>
      <w:proofErr w:type="gramStart"/>
      <w:r>
        <w:t>a)   Using</w:t>
      </w:r>
      <w:proofErr w:type="gramEnd"/>
      <w:r>
        <w:t xml:space="preserve"> algebra, find the equilibrium value(s) for the difference equation that models hardwood growth under selective logging strategy #1.  Comment on the value(s) that you obtain.  </w:t>
      </w:r>
      <w:r>
        <w:rPr>
          <w:i/>
          <w:iCs/>
        </w:rPr>
        <w:t>Hint: before using the quadratic formula, convert all fractions to decimal form.</w:t>
      </w:r>
    </w:p>
    <w:p w:rsidR="00E402B0" w:rsidRDefault="00E402B0">
      <w:pPr>
        <w:pStyle w:val="Default"/>
        <w:spacing w:line="312" w:lineRule="auto"/>
      </w:pPr>
    </w:p>
    <w:p w:rsidR="00380108" w:rsidRDefault="00380108" w:rsidP="00380108">
      <w:pPr>
        <w:pStyle w:val="Default"/>
        <w:spacing w:line="312" w:lineRule="auto"/>
      </w:pPr>
      <w:proofErr w:type="gramStart"/>
      <w:r>
        <w:t>H(</w:t>
      </w:r>
      <w:proofErr w:type="gramEnd"/>
      <w:r>
        <w:t>n)=1.1*H(n-1)-.1/160H(n-1)^2-3.2</w:t>
      </w:r>
    </w:p>
    <w:p w:rsidR="00E402B0" w:rsidRDefault="00380108">
      <w:pPr>
        <w:pStyle w:val="Default"/>
        <w:spacing w:line="312" w:lineRule="auto"/>
      </w:pPr>
      <w:r>
        <w:t>0=</w:t>
      </w:r>
      <w:proofErr w:type="gramStart"/>
      <w:r>
        <w:t>.000625n</w:t>
      </w:r>
      <w:proofErr w:type="gramEnd"/>
      <w:r>
        <w:t>^2+.1n-3.2</w:t>
      </w:r>
    </w:p>
    <w:p w:rsidR="00380108" w:rsidRDefault="007D1A9B">
      <w:pPr>
        <w:pStyle w:val="Default"/>
        <w:spacing w:line="312" w:lineRule="auto"/>
      </w:pPr>
      <w:r w:rsidRPr="00380108">
        <w:rPr>
          <w:position w:val="-42"/>
        </w:rPr>
        <w:object w:dxaOrig="3000" w:dyaOrig="980">
          <v:shape id="_x0000_i1035" type="#_x0000_t75" style="width:150.4pt;height:48.8pt" o:ole="">
            <v:imagedata r:id="rId15" r:pict="rId16" o:title=""/>
          </v:shape>
          <o:OLEObject Type="Embed" ProgID="Equation.3" ShapeID="_x0000_i1035" DrawAspect="Content" ObjectID="_1289915012" r:id="rId17"/>
        </w:object>
      </w:r>
    </w:p>
    <w:p w:rsidR="00E402B0" w:rsidRDefault="00380108">
      <w:pPr>
        <w:pStyle w:val="Default"/>
        <w:spacing w:line="312" w:lineRule="auto"/>
      </w:pPr>
      <w:r>
        <w:t>T</w:t>
      </w:r>
      <w:r w:rsidR="007D1A9B">
        <w:t xml:space="preserve">he difference equation has a </w:t>
      </w:r>
      <w:r>
        <w:t>stable equilibrium.</w:t>
      </w:r>
    </w:p>
    <w:p w:rsidR="00E402B0" w:rsidRDefault="00E402B0">
      <w:pPr>
        <w:pStyle w:val="Default"/>
        <w:spacing w:line="312" w:lineRule="auto"/>
      </w:pPr>
    </w:p>
    <w:p w:rsidR="00E402B0" w:rsidRDefault="00E402B0">
      <w:pPr>
        <w:pStyle w:val="Default"/>
        <w:pageBreakBefore/>
        <w:spacing w:line="312" w:lineRule="auto"/>
      </w:pPr>
      <w:proofErr w:type="gramStart"/>
      <w:r>
        <w:t>b)   Again</w:t>
      </w:r>
      <w:proofErr w:type="gramEnd"/>
      <w:r>
        <w:t xml:space="preserve"> using algebra, show that </w:t>
      </w:r>
      <w:r>
        <w:rPr>
          <w:i/>
        </w:rPr>
        <w:t xml:space="preserve">there is not </w:t>
      </w:r>
      <w:r>
        <w:t>an equilibrium value for the difference equation that models hardwood growth under selective logging strategy #2.</w:t>
      </w:r>
    </w:p>
    <w:p w:rsidR="00380108" w:rsidRDefault="00380108" w:rsidP="00380108">
      <w:pPr>
        <w:pStyle w:val="Default"/>
        <w:spacing w:line="312" w:lineRule="auto"/>
      </w:pPr>
      <w:proofErr w:type="gramStart"/>
      <w:r>
        <w:t>H(</w:t>
      </w:r>
      <w:proofErr w:type="gramEnd"/>
      <w:r>
        <w:t>n)=1.1*H(n-1)-.1/160H(n-1)^2-6.4</w:t>
      </w:r>
    </w:p>
    <w:p w:rsidR="00380108" w:rsidRDefault="00380108">
      <w:pPr>
        <w:pStyle w:val="Default"/>
        <w:spacing w:line="312" w:lineRule="auto"/>
      </w:pPr>
      <w:r>
        <w:t>0=</w:t>
      </w:r>
      <w:proofErr w:type="gramStart"/>
      <w:r>
        <w:t>.000625n</w:t>
      </w:r>
      <w:proofErr w:type="gramEnd"/>
      <w:r>
        <w:t>^2+.1n-6.4</w:t>
      </w:r>
    </w:p>
    <w:p w:rsidR="00E402B0" w:rsidRDefault="00380108">
      <w:pPr>
        <w:pStyle w:val="Default"/>
        <w:spacing w:line="312" w:lineRule="auto"/>
      </w:pPr>
      <w:r w:rsidRPr="00380108">
        <w:rPr>
          <w:position w:val="-42"/>
        </w:rPr>
        <w:object w:dxaOrig="3000" w:dyaOrig="980">
          <v:shape id="_x0000_i1033" type="#_x0000_t75" style="width:150.4pt;height:48.8pt" o:ole="">
            <v:imagedata r:id="rId18" r:pict="rId19" o:title=""/>
          </v:shape>
          <o:OLEObject Type="Embed" ProgID="Equation.3" ShapeID="_x0000_i1033" DrawAspect="Content" ObjectID="_1289915013" r:id="rId20"/>
        </w:object>
      </w:r>
    </w:p>
    <w:p w:rsidR="00E402B0" w:rsidRDefault="00E402B0">
      <w:pPr>
        <w:pStyle w:val="Default"/>
        <w:spacing w:line="312" w:lineRule="auto"/>
      </w:pPr>
    </w:p>
    <w:p w:rsidR="00E402B0" w:rsidRDefault="00E402B0">
      <w:pPr>
        <w:pStyle w:val="Heading1"/>
        <w:rPr>
          <w:u w:val="single"/>
        </w:rPr>
      </w:pPr>
      <w:r>
        <w:rPr>
          <w:u w:val="single"/>
        </w:rPr>
        <w:t>5. Comparing long-term strategies</w:t>
      </w:r>
    </w:p>
    <w:p w:rsidR="00E402B0" w:rsidRDefault="00E402B0">
      <w:pPr>
        <w:pStyle w:val="Default"/>
        <w:spacing w:line="312" w:lineRule="auto"/>
      </w:pPr>
      <w:proofErr w:type="gramStart"/>
      <w:r>
        <w:t>a)   In</w:t>
      </w:r>
      <w:proofErr w:type="gramEnd"/>
      <w:r>
        <w:t xml:space="preserve"> this section you’ll determine the </w:t>
      </w:r>
      <w:r>
        <w:rPr>
          <w:b/>
          <w:bCs/>
        </w:rPr>
        <w:t xml:space="preserve">average annual hardwood harvest </w:t>
      </w:r>
      <w:r>
        <w:t>for each of the 3 forestry practices discussed here.  For selective logging strategy #1, this is easy—the average annual amount harvested is: _____</w:t>
      </w:r>
      <w:r w:rsidR="00503094">
        <w:t>3.2</w:t>
      </w:r>
      <w:r w:rsidR="007D1A9B">
        <w:t>______</w:t>
      </w:r>
      <w:r>
        <w:t>_____</w:t>
      </w:r>
    </w:p>
    <w:p w:rsidR="00E402B0" w:rsidRDefault="00E402B0">
      <w:pPr>
        <w:pStyle w:val="Default"/>
        <w:spacing w:line="312" w:lineRule="auto"/>
      </w:pPr>
    </w:p>
    <w:p w:rsidR="00E402B0" w:rsidRDefault="00E402B0">
      <w:pPr>
        <w:pStyle w:val="Default"/>
        <w:spacing w:line="312" w:lineRule="auto"/>
      </w:pPr>
      <w:r>
        <w:t xml:space="preserve">It is a bit more difficult to determine the average annual harvest for the clear-cut strategy because after clear-cutting there is no additional harvesting until the forest has regenerated.  To simplify the computations, we assume that (1) the clear-cut happens instantaneously, always reducing the hardwood amount from 99% of </w:t>
      </w:r>
      <w:r>
        <w:rPr>
          <w:i/>
          <w:iCs/>
        </w:rPr>
        <w:t xml:space="preserve">K </w:t>
      </w:r>
      <w:r>
        <w:t xml:space="preserve">to 1.3 Mg C, and (2) the forest recovers logistically over a period of </w:t>
      </w:r>
      <w:r>
        <w:rPr>
          <w:i/>
          <w:iCs/>
        </w:rPr>
        <w:t>T</w:t>
      </w:r>
      <w:r>
        <w:t xml:space="preserve"> years before harvest can take place again.  Three cycles of harvest and recovery are diagrammed below.</w:t>
      </w:r>
      <w:r>
        <w:br/>
      </w:r>
    </w:p>
    <w:p w:rsidR="00E402B0" w:rsidRDefault="006D0C78">
      <w:pPr>
        <w:pStyle w:val="Default"/>
        <w:spacing w:line="312" w:lineRule="auto"/>
        <w:jc w:val="center"/>
      </w:pPr>
      <w:r>
        <w:rPr>
          <w:noProof/>
          <w:lang w:eastAsia="en-US"/>
        </w:rPr>
        <w:pict>
          <v:shapetype id="_x0000_t202" coordsize="21600,21600" o:spt="202" path="m0,0l0,21600,21600,21600,21600,0xe">
            <v:stroke joinstyle="miter"/>
            <v:path gradientshapeok="t" o:connecttype="rect"/>
          </v:shapetype>
          <v:shape id="_x0000_s2056" type="#_x0000_t202" style="position:absolute;left:0;text-align:left;margin-left:163.6pt;margin-top:133.75pt;width:31.2pt;height:32.85pt;z-index:251659264;mso-wrap-edited:f;mso-position-horizontal:absolute;mso-position-vertical:absolute" wrapcoords="0 0 21600 0 21600 21600 0 21600 0 0" filled="f" stroked="f">
            <v:fill o:detectmouseclick="t"/>
            <v:textbox inset=",7.2pt,,7.2pt">
              <w:txbxContent>
                <w:p w:rsidR="00514605" w:rsidRDefault="00514605">
                  <w:r>
                    <w:t>69</w:t>
                  </w:r>
                </w:p>
              </w:txbxContent>
            </v:textbox>
            <w10:wrap type="tight"/>
          </v:shape>
        </w:pict>
      </w:r>
      <w:r w:rsidR="009C0755">
        <w:rPr>
          <w:noProof/>
          <w:lang w:eastAsia="en-US"/>
        </w:rPr>
        <w:pict>
          <v:shape id="_x0000_s2053" type="#_x0000_t202" style="position:absolute;left:0;text-align:left;margin-left:57.2pt;margin-top:133.8pt;width:16.8pt;height:27.2pt;z-index:251658240;mso-wrap-edited:f;mso-position-horizontal:absolute;mso-position-vertical:absolute" wrapcoords="0 0 21600 0 21600 21600 0 21600 0 0" filled="f" stroked="f">
            <v:fill o:detectmouseclick="t"/>
            <v:textbox style="mso-next-textbox:#_x0000_s2053" inset=",7.2pt,,7.2pt">
              <w:txbxContent>
                <w:p w:rsidR="00514605" w:rsidRDefault="00514605">
                  <w:r>
                    <w:t>0</w:t>
                  </w:r>
                </w:p>
              </w:txbxContent>
            </v:textbox>
            <w10:wrap type="tight"/>
          </v:shape>
        </w:pict>
      </w:r>
      <w:r w:rsidR="009C0755">
        <w:rPr>
          <w:noProof/>
          <w:lang w:eastAsia="en-US"/>
        </w:rPr>
        <w:pict>
          <v:shape id="_x0000_s2057" type="#_x0000_t202" style="position:absolute;left:0;text-align:left;margin-left:268.4pt;margin-top:133.8pt;width:33.6pt;height:32.8pt;z-index:251660288;mso-wrap-edited:f;mso-position-horizontal:absolute;mso-position-vertical:absolute" wrapcoords="0 0 21600 0 21600 21600 0 21600 0 0" filled="f" stroked="f">
            <v:fill o:detectmouseclick="t"/>
            <v:textbox inset=",7.2pt,,7.2pt">
              <w:txbxContent>
                <w:p w:rsidR="00514605" w:rsidRDefault="00514605">
                  <w:r>
                    <w:t>138</w:t>
                  </w:r>
                </w:p>
              </w:txbxContent>
            </v:textbox>
            <w10:wrap type="tight"/>
          </v:shape>
        </w:pict>
      </w:r>
      <w:r w:rsidR="006E6293">
        <w:rPr>
          <w:noProof/>
          <w:lang w:eastAsia="en-US"/>
        </w:rPr>
        <w:drawing>
          <wp:inline distT="0" distB="0" distL="0" distR="0">
            <wp:extent cx="5486400" cy="163576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5486400" cy="1635760"/>
                    </a:xfrm>
                    <a:prstGeom prst="rect">
                      <a:avLst/>
                    </a:prstGeom>
                    <a:solidFill>
                      <a:srgbClr val="FFFFFF"/>
                    </a:solidFill>
                    <a:ln w="9525">
                      <a:noFill/>
                      <a:miter lim="800000"/>
                      <a:headEnd/>
                      <a:tailEnd/>
                    </a:ln>
                  </pic:spPr>
                </pic:pic>
              </a:graphicData>
            </a:graphic>
          </wp:inline>
        </w:drawing>
      </w:r>
    </w:p>
    <w:p w:rsidR="00E402B0" w:rsidRDefault="00E402B0">
      <w:pPr>
        <w:pStyle w:val="Default"/>
        <w:pageBreakBefore/>
        <w:spacing w:line="312" w:lineRule="auto"/>
      </w:pPr>
      <w:proofErr w:type="gramStart"/>
      <w:r>
        <w:t>b)   To</w:t>
      </w:r>
      <w:proofErr w:type="gramEnd"/>
      <w:r>
        <w:t xml:space="preserve"> determine the average annual harvest under the clear-cut strategy, start by numbering the time scale in the above diagram, starting with 0.  (You’ll need to recall your value </w:t>
      </w:r>
      <w:proofErr w:type="gramStart"/>
      <w:r>
        <w:t xml:space="preserve">of  </w:t>
      </w:r>
      <w:r>
        <w:rPr>
          <w:i/>
          <w:iCs/>
        </w:rPr>
        <w:t>T</w:t>
      </w:r>
      <w:proofErr w:type="gramEnd"/>
      <w:r>
        <w:t xml:space="preserve">  from question 2.)  Then answer the following questions.</w:t>
      </w:r>
    </w:p>
    <w:p w:rsidR="00E402B0" w:rsidRDefault="00E402B0">
      <w:pPr>
        <w:pStyle w:val="Default"/>
        <w:spacing w:line="312" w:lineRule="auto"/>
      </w:pPr>
    </w:p>
    <w:p w:rsidR="00E402B0" w:rsidRDefault="00E402B0">
      <w:pPr>
        <w:pStyle w:val="Default"/>
        <w:spacing w:line="312" w:lineRule="auto"/>
      </w:pPr>
      <w:proofErr w:type="gramStart"/>
      <w:r>
        <w:t>c)   Under</w:t>
      </w:r>
      <w:proofErr w:type="gramEnd"/>
      <w:r>
        <w:t xml:space="preserve"> the clear-cut strategy, how much hardwood is harvested in </w:t>
      </w:r>
      <w:r>
        <w:rPr>
          <w:b/>
          <w:bCs/>
        </w:rPr>
        <w:t>1 cycle</w:t>
      </w:r>
      <w:r>
        <w:t xml:space="preserve">?  </w:t>
      </w:r>
    </w:p>
    <w:p w:rsidR="00E402B0" w:rsidRDefault="009C0755">
      <w:pPr>
        <w:pStyle w:val="Default"/>
        <w:spacing w:line="312" w:lineRule="auto"/>
      </w:pPr>
      <w:r>
        <w:t xml:space="preserve">146.78 </w:t>
      </w:r>
      <w:proofErr w:type="spellStart"/>
      <w:r>
        <w:t>MgC</w:t>
      </w:r>
      <w:proofErr w:type="spellEnd"/>
      <w:r>
        <w:t xml:space="preserve"> of hardwood is harvested in 1 cycle.</w:t>
      </w:r>
      <w:r w:rsidR="00E402B0">
        <w:br/>
      </w:r>
      <w:proofErr w:type="gramStart"/>
      <w:r w:rsidR="00E402B0">
        <w:t>d)   How</w:t>
      </w:r>
      <w:proofErr w:type="gramEnd"/>
      <w:r w:rsidR="00E402B0">
        <w:t xml:space="preserve"> many years does </w:t>
      </w:r>
      <w:r w:rsidR="00E402B0">
        <w:rPr>
          <w:b/>
          <w:bCs/>
        </w:rPr>
        <w:t>1 cycle</w:t>
      </w:r>
      <w:r w:rsidR="00E402B0">
        <w:t xml:space="preserve"> last? </w:t>
      </w:r>
    </w:p>
    <w:p w:rsidR="00E402B0" w:rsidRDefault="007D1A9B">
      <w:pPr>
        <w:pStyle w:val="Default"/>
        <w:spacing w:line="312" w:lineRule="auto"/>
      </w:pPr>
      <w:r>
        <w:t xml:space="preserve">One cycle lasts </w:t>
      </w:r>
      <w:r w:rsidR="006D0C78">
        <w:t>5</w:t>
      </w:r>
      <w:r>
        <w:t xml:space="preserve"> years.</w:t>
      </w:r>
      <w:r w:rsidR="00E402B0">
        <w:br/>
      </w:r>
      <w:proofErr w:type="gramStart"/>
      <w:r w:rsidR="00E402B0">
        <w:t>e)   What</w:t>
      </w:r>
      <w:proofErr w:type="gramEnd"/>
      <w:r w:rsidR="00E402B0">
        <w:t xml:space="preserve"> is the </w:t>
      </w:r>
      <w:r w:rsidR="00E402B0">
        <w:rPr>
          <w:i/>
        </w:rPr>
        <w:t>average</w:t>
      </w:r>
      <w:r w:rsidR="00E402B0">
        <w:t xml:space="preserve"> annual hardwood harvest for the clear-cut strategy?</w:t>
      </w:r>
    </w:p>
    <w:p w:rsidR="009A1255" w:rsidRDefault="007B1AC8">
      <w:pPr>
        <w:pStyle w:val="Default"/>
        <w:spacing w:line="312" w:lineRule="auto"/>
      </w:pPr>
      <w:r>
        <w:t xml:space="preserve">The average annual hardwood harvest for clear cutting is </w:t>
      </w:r>
      <w:r w:rsidR="009A1255">
        <w:t>3.2</w:t>
      </w:r>
      <w:r>
        <w:t xml:space="preserve"> Mg C.</w:t>
      </w:r>
    </w:p>
    <w:p w:rsidR="00E402B0" w:rsidRDefault="00E402B0">
      <w:pPr>
        <w:pStyle w:val="Default"/>
        <w:spacing w:line="312" w:lineRule="auto"/>
      </w:pPr>
    </w:p>
    <w:p w:rsidR="00E402B0" w:rsidRDefault="00E402B0">
      <w:pPr>
        <w:pStyle w:val="Default"/>
        <w:spacing w:line="312" w:lineRule="auto"/>
      </w:pPr>
      <w:r>
        <w:t xml:space="preserve">Analyzing selective logging strategy #2 is also a bit difficult because harvest and recovery take place in two stages.  Again we make two assumptions to simplify the calculations: (1) the annual harvest reduces the hardwood amount from 99% of </w:t>
      </w:r>
      <w:r>
        <w:rPr>
          <w:i/>
          <w:iCs/>
        </w:rPr>
        <w:t xml:space="preserve">K </w:t>
      </w:r>
      <w:r>
        <w:t xml:space="preserve">to 1.3 Mg C, as in the second graph that you drew, and (2) the forest recovers logistically over a period of </w:t>
      </w:r>
      <w:r>
        <w:rPr>
          <w:i/>
          <w:iCs/>
        </w:rPr>
        <w:t>T</w:t>
      </w:r>
      <w:r>
        <w:t xml:space="preserve"> years before annual harvesting can take place again.  After recovery, selective logging strategy #2 resumes immediately at a harvest level of 6.4 Mg C each year.  Two cycles of harvest and recovery under this strategy are displayed below.</w:t>
      </w:r>
    </w:p>
    <w:p w:rsidR="00E402B0" w:rsidRDefault="00E402B0">
      <w:pPr>
        <w:pStyle w:val="Default"/>
        <w:spacing w:line="312" w:lineRule="auto"/>
        <w:jc w:val="center"/>
      </w:pPr>
    </w:p>
    <w:p w:rsidR="00E402B0" w:rsidRDefault="007B1AC8">
      <w:pPr>
        <w:pStyle w:val="Default"/>
        <w:spacing w:line="312" w:lineRule="auto"/>
        <w:jc w:val="center"/>
      </w:pPr>
      <w:r>
        <w:rPr>
          <w:noProof/>
          <w:lang w:eastAsia="en-US"/>
        </w:rPr>
        <w:pict>
          <v:shape id="_x0000_s2059" type="#_x0000_t202" style="position:absolute;left:0;text-align:left;margin-left:268.4pt;margin-top:133.05pt;width:27.2pt;height:25.65pt;z-index:251662336;mso-wrap-edited:f;mso-position-horizontal:absolute;mso-position-vertical:absolute" wrapcoords="0 0 21600 0 21600 21600 0 21600 0 0" filled="f" stroked="f">
            <v:fill o:detectmouseclick="t"/>
            <v:textbox inset=",7.2pt,,7.2pt">
              <w:txbxContent>
                <w:p w:rsidR="00514605" w:rsidRDefault="00514605">
                  <w:r>
                    <w:t>47</w:t>
                  </w:r>
                </w:p>
              </w:txbxContent>
            </v:textbox>
            <w10:wrap type="tight"/>
          </v:shape>
        </w:pict>
      </w:r>
      <w:r>
        <w:rPr>
          <w:noProof/>
          <w:lang w:eastAsia="en-US"/>
        </w:rPr>
        <w:pict>
          <v:shape id="_x0000_s2058" type="#_x0000_t202" style="position:absolute;left:0;text-align:left;margin-left:120.4pt;margin-top:133.05pt;width:23.2pt;height:24.8pt;z-index:251661312;mso-wrap-edited:f;mso-position-horizontal:absolute;mso-position-vertical:absolute" wrapcoords="0 0 21600 0 21600 21600 0 21600 0 0" filled="f" stroked="f">
            <v:fill o:detectmouseclick="t"/>
            <v:textbox inset=",7.2pt,,7.2pt">
              <w:txbxContent>
                <w:p w:rsidR="00514605" w:rsidRDefault="00514605">
                  <w:r>
                    <w:t>0</w:t>
                  </w:r>
                </w:p>
              </w:txbxContent>
            </v:textbox>
            <w10:wrap type="tight"/>
          </v:shape>
        </w:pict>
      </w:r>
      <w:r w:rsidR="006E6293">
        <w:rPr>
          <w:noProof/>
          <w:lang w:eastAsia="en-US"/>
        </w:rPr>
        <w:drawing>
          <wp:inline distT="0" distB="0" distL="0" distR="0">
            <wp:extent cx="5476240" cy="1676400"/>
            <wp:effectExtent l="2540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5476240" cy="1676400"/>
                    </a:xfrm>
                    <a:prstGeom prst="rect">
                      <a:avLst/>
                    </a:prstGeom>
                    <a:solidFill>
                      <a:srgbClr val="FFFFFF"/>
                    </a:solidFill>
                    <a:ln w="9525">
                      <a:noFill/>
                      <a:miter lim="800000"/>
                      <a:headEnd/>
                      <a:tailEnd/>
                    </a:ln>
                  </pic:spPr>
                </pic:pic>
              </a:graphicData>
            </a:graphic>
          </wp:inline>
        </w:drawing>
      </w:r>
    </w:p>
    <w:p w:rsidR="00E402B0" w:rsidRDefault="00E402B0">
      <w:pPr>
        <w:pStyle w:val="Default"/>
        <w:spacing w:line="312" w:lineRule="auto"/>
      </w:pPr>
    </w:p>
    <w:p w:rsidR="007B1AC8" w:rsidRDefault="007B1AC8">
      <w:pPr>
        <w:pStyle w:val="Default"/>
        <w:spacing w:line="312" w:lineRule="auto"/>
      </w:pPr>
    </w:p>
    <w:p w:rsidR="00E402B0" w:rsidRDefault="00E402B0">
      <w:pPr>
        <w:pStyle w:val="Default"/>
        <w:spacing w:line="312" w:lineRule="auto"/>
      </w:pPr>
      <w:proofErr w:type="gramStart"/>
      <w:r>
        <w:t>f)   To</w:t>
      </w:r>
      <w:proofErr w:type="gramEnd"/>
      <w:r>
        <w:t xml:space="preserve"> find the average annual harvest under selective logging strategy #2, number the time scale in the diagram above, starting with 0.  Then answer the following questions.</w:t>
      </w:r>
    </w:p>
    <w:p w:rsidR="00E402B0" w:rsidRDefault="00E402B0">
      <w:pPr>
        <w:pStyle w:val="Default"/>
        <w:spacing w:line="312" w:lineRule="auto"/>
      </w:pPr>
    </w:p>
    <w:p w:rsidR="00E402B0" w:rsidRDefault="00E402B0">
      <w:pPr>
        <w:pStyle w:val="Default"/>
        <w:spacing w:line="312" w:lineRule="auto"/>
      </w:pPr>
      <w:proofErr w:type="gramStart"/>
      <w:r>
        <w:t>g)  How</w:t>
      </w:r>
      <w:proofErr w:type="gramEnd"/>
      <w:r>
        <w:t xml:space="preserve"> much hardwood is harvested in </w:t>
      </w:r>
      <w:r>
        <w:rPr>
          <w:b/>
          <w:bCs/>
        </w:rPr>
        <w:t>1 cycle</w:t>
      </w:r>
      <w:r>
        <w:t>?  Why is this amount much higher than when clear-cutting?</w:t>
      </w:r>
    </w:p>
    <w:p w:rsidR="00E402B0" w:rsidRDefault="00E402B0">
      <w:pPr>
        <w:pStyle w:val="Default"/>
        <w:spacing w:line="312" w:lineRule="auto"/>
      </w:pPr>
      <w:r>
        <w:br/>
      </w:r>
      <w:proofErr w:type="gramStart"/>
      <w:r>
        <w:t>h)  How</w:t>
      </w:r>
      <w:proofErr w:type="gramEnd"/>
      <w:r>
        <w:t xml:space="preserve"> many years does </w:t>
      </w:r>
      <w:r>
        <w:rPr>
          <w:b/>
          <w:bCs/>
        </w:rPr>
        <w:t>1 cycle</w:t>
      </w:r>
      <w:r>
        <w:t xml:space="preserve"> last?  </w:t>
      </w:r>
    </w:p>
    <w:p w:rsidR="009A1255" w:rsidRDefault="00E402B0">
      <w:pPr>
        <w:pStyle w:val="Default"/>
        <w:spacing w:line="312" w:lineRule="auto"/>
      </w:pPr>
      <w:r>
        <w:br/>
      </w:r>
      <w:proofErr w:type="spellStart"/>
      <w:proofErr w:type="gramStart"/>
      <w:r>
        <w:t>i</w:t>
      </w:r>
      <w:proofErr w:type="spellEnd"/>
      <w:r>
        <w:t>)  What</w:t>
      </w:r>
      <w:proofErr w:type="gramEnd"/>
      <w:r>
        <w:t xml:space="preserve"> is the </w:t>
      </w:r>
      <w:r>
        <w:rPr>
          <w:i/>
        </w:rPr>
        <w:t>average</w:t>
      </w:r>
      <w:r w:rsidR="009A1255">
        <w:t xml:space="preserve"> annual hardwoo</w:t>
      </w:r>
      <w:r>
        <w:t>d harvest for selective logging strategy #2?</w:t>
      </w:r>
    </w:p>
    <w:p w:rsidR="00E402B0" w:rsidRDefault="009A1255">
      <w:pPr>
        <w:pStyle w:val="Default"/>
        <w:spacing w:line="312" w:lineRule="auto"/>
      </w:pPr>
      <w:r>
        <w:t xml:space="preserve">The average annual hardwood harvest is 6.4 </w:t>
      </w:r>
      <w:proofErr w:type="spellStart"/>
      <w:r>
        <w:t>MgC</w:t>
      </w:r>
      <w:proofErr w:type="spellEnd"/>
      <w:r>
        <w:t>.</w:t>
      </w:r>
    </w:p>
    <w:p w:rsidR="00E402B0" w:rsidRDefault="00E402B0">
      <w:pPr>
        <w:pStyle w:val="Default"/>
        <w:pageBreakBefore/>
        <w:spacing w:line="312" w:lineRule="auto"/>
      </w:pPr>
      <w:proofErr w:type="gramStart"/>
      <w:r>
        <w:t>j)  Use</w:t>
      </w:r>
      <w:proofErr w:type="gramEnd"/>
      <w:r>
        <w:t xml:space="preserve"> the results of your computations to fill in the table below.</w:t>
      </w:r>
    </w:p>
    <w:tbl>
      <w:tblPr>
        <w:tblW w:w="0" w:type="auto"/>
        <w:tblInd w:w="108" w:type="dxa"/>
        <w:tblLayout w:type="fixed"/>
        <w:tblLook w:val="0000"/>
      </w:tblPr>
      <w:tblGrid>
        <w:gridCol w:w="2250"/>
        <w:gridCol w:w="1830"/>
        <w:gridCol w:w="1950"/>
        <w:gridCol w:w="1900"/>
      </w:tblGrid>
      <w:tr w:rsidR="00E402B0">
        <w:tc>
          <w:tcPr>
            <w:tcW w:w="225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p>
        </w:tc>
        <w:tc>
          <w:tcPr>
            <w:tcW w:w="183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r>
              <w:t>Clear-cut strategy</w:t>
            </w:r>
          </w:p>
        </w:tc>
        <w:tc>
          <w:tcPr>
            <w:tcW w:w="195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r>
              <w:t>Selective logging strategy #1</w:t>
            </w:r>
          </w:p>
        </w:tc>
        <w:tc>
          <w:tcPr>
            <w:tcW w:w="1900" w:type="dxa"/>
            <w:tcBorders>
              <w:top w:val="single" w:sz="4" w:space="0" w:color="000000"/>
              <w:left w:val="single" w:sz="4" w:space="0" w:color="000000"/>
              <w:bottom w:val="single" w:sz="4" w:space="0" w:color="000000"/>
              <w:right w:val="single" w:sz="4" w:space="0" w:color="000000"/>
            </w:tcBorders>
          </w:tcPr>
          <w:p w:rsidR="00E402B0" w:rsidRDefault="00E402B0">
            <w:pPr>
              <w:pStyle w:val="Default"/>
              <w:snapToGrid w:val="0"/>
              <w:spacing w:line="312" w:lineRule="auto"/>
              <w:jc w:val="center"/>
            </w:pPr>
            <w:r>
              <w:t>Selective logging strategy #2</w:t>
            </w:r>
          </w:p>
        </w:tc>
      </w:tr>
      <w:tr w:rsidR="00E402B0">
        <w:tc>
          <w:tcPr>
            <w:tcW w:w="225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r>
              <w:t xml:space="preserve">Average annual harvest </w:t>
            </w:r>
            <w:r>
              <w:br/>
              <w:t>(Mg C/yr)</w:t>
            </w:r>
          </w:p>
        </w:tc>
        <w:tc>
          <w:tcPr>
            <w:tcW w:w="183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p>
        </w:tc>
        <w:tc>
          <w:tcPr>
            <w:tcW w:w="195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p>
        </w:tc>
        <w:tc>
          <w:tcPr>
            <w:tcW w:w="1900" w:type="dxa"/>
            <w:tcBorders>
              <w:top w:val="single" w:sz="4" w:space="0" w:color="000000"/>
              <w:left w:val="single" w:sz="4" w:space="0" w:color="000000"/>
              <w:bottom w:val="single" w:sz="4" w:space="0" w:color="000000"/>
              <w:right w:val="single" w:sz="4" w:space="0" w:color="000000"/>
            </w:tcBorders>
          </w:tcPr>
          <w:p w:rsidR="00E402B0" w:rsidRDefault="00E402B0">
            <w:pPr>
              <w:pStyle w:val="Default"/>
              <w:snapToGrid w:val="0"/>
              <w:spacing w:line="312" w:lineRule="auto"/>
              <w:jc w:val="center"/>
            </w:pPr>
          </w:p>
        </w:tc>
      </w:tr>
      <w:tr w:rsidR="00E402B0">
        <w:tc>
          <w:tcPr>
            <w:tcW w:w="225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r>
              <w:t>Total harvest in 500</w:t>
            </w:r>
            <w:r>
              <w:rPr>
                <w:i/>
                <w:iCs/>
              </w:rPr>
              <w:t xml:space="preserve"> </w:t>
            </w:r>
            <w:r>
              <w:t>years (Mg C)</w:t>
            </w:r>
          </w:p>
        </w:tc>
        <w:tc>
          <w:tcPr>
            <w:tcW w:w="183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p>
        </w:tc>
        <w:tc>
          <w:tcPr>
            <w:tcW w:w="1950" w:type="dxa"/>
            <w:tcBorders>
              <w:top w:val="single" w:sz="4" w:space="0" w:color="000000"/>
              <w:left w:val="single" w:sz="4" w:space="0" w:color="000000"/>
              <w:bottom w:val="single" w:sz="4" w:space="0" w:color="000000"/>
            </w:tcBorders>
          </w:tcPr>
          <w:p w:rsidR="00E402B0" w:rsidRDefault="00E402B0">
            <w:pPr>
              <w:pStyle w:val="Default"/>
              <w:snapToGrid w:val="0"/>
              <w:spacing w:line="312" w:lineRule="auto"/>
              <w:jc w:val="center"/>
            </w:pPr>
          </w:p>
        </w:tc>
        <w:tc>
          <w:tcPr>
            <w:tcW w:w="1900" w:type="dxa"/>
            <w:tcBorders>
              <w:top w:val="single" w:sz="4" w:space="0" w:color="000000"/>
              <w:left w:val="single" w:sz="4" w:space="0" w:color="000000"/>
              <w:bottom w:val="single" w:sz="4" w:space="0" w:color="000000"/>
              <w:right w:val="single" w:sz="4" w:space="0" w:color="000000"/>
            </w:tcBorders>
          </w:tcPr>
          <w:p w:rsidR="00E402B0" w:rsidRDefault="00E402B0">
            <w:pPr>
              <w:pStyle w:val="Default"/>
              <w:snapToGrid w:val="0"/>
              <w:spacing w:line="312" w:lineRule="auto"/>
              <w:jc w:val="center"/>
            </w:pPr>
          </w:p>
        </w:tc>
      </w:tr>
    </w:tbl>
    <w:p w:rsidR="00E402B0" w:rsidRDefault="00E402B0">
      <w:pPr>
        <w:pStyle w:val="Default"/>
        <w:spacing w:line="312" w:lineRule="auto"/>
      </w:pPr>
    </w:p>
    <w:p w:rsidR="00E402B0" w:rsidRDefault="00E402B0">
      <w:pPr>
        <w:pStyle w:val="Default"/>
        <w:spacing w:line="312" w:lineRule="auto"/>
      </w:pPr>
      <w:proofErr w:type="gramStart"/>
      <w:r>
        <w:t>k)  Which</w:t>
      </w:r>
      <w:proofErr w:type="gramEnd"/>
      <w:r>
        <w:t xml:space="preserve"> of the three strategies produces the most hardwood over 500 years?</w:t>
      </w:r>
      <w:r>
        <w:br/>
      </w:r>
      <w:r>
        <w:br/>
      </w:r>
    </w:p>
    <w:p w:rsidR="00E402B0" w:rsidRDefault="00E402B0">
      <w:pPr>
        <w:pStyle w:val="Default"/>
        <w:spacing w:line="312" w:lineRule="auto"/>
      </w:pPr>
    </w:p>
    <w:p w:rsidR="00E402B0" w:rsidRDefault="00E402B0">
      <w:pPr>
        <w:pStyle w:val="Default"/>
        <w:spacing w:line="312" w:lineRule="auto"/>
      </w:pPr>
      <w:proofErr w:type="gramStart"/>
      <w:r>
        <w:t>l)  What</w:t>
      </w:r>
      <w:proofErr w:type="gramEnd"/>
      <w:r>
        <w:t xml:space="preserve"> factors might make one of the strategies better than the other, in terms of tropical forest health?  Discuss.</w:t>
      </w: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rPr>
          <w:b/>
          <w:bCs/>
          <w:u w:val="single"/>
        </w:rPr>
      </w:pPr>
      <w:r>
        <w:rPr>
          <w:b/>
          <w:bCs/>
          <w:u w:val="single"/>
        </w:rPr>
        <w:t>6. Sustainability</w:t>
      </w:r>
    </w:p>
    <w:p w:rsidR="00E402B0" w:rsidRDefault="00E402B0">
      <w:pPr>
        <w:pStyle w:val="Default"/>
        <w:spacing w:line="312" w:lineRule="auto"/>
      </w:pPr>
      <w:r>
        <w:t xml:space="preserve">Selective logging strategy #1 is </w:t>
      </w:r>
      <w:r>
        <w:rPr>
          <w:b/>
          <w:bCs/>
        </w:rPr>
        <w:t>sustainable</w:t>
      </w:r>
      <w:r>
        <w:t xml:space="preserve"> because the annual harvest of 3.2 Mg C can be maintained without end (at least according to the model). On the contrary, selective logging strategy #2 is </w:t>
      </w:r>
      <w:r>
        <w:rPr>
          <w:b/>
          <w:bCs/>
        </w:rPr>
        <w:t>unsustainable</w:t>
      </w:r>
      <w:r>
        <w:t xml:space="preserve"> because harvesting 6.4 Mg C each year quickly leads to the complete removal of the forest hardwoods.  Sustainable forest practices are thought to be more environmentally friendly, but there is often intense pressure to remove as many trees as possible for building and manufacturing needs. A balance must be struck. </w:t>
      </w:r>
    </w:p>
    <w:p w:rsidR="00E402B0" w:rsidRDefault="00E402B0">
      <w:pPr>
        <w:pStyle w:val="Default"/>
        <w:pageBreakBefore/>
        <w:spacing w:line="312" w:lineRule="auto"/>
        <w:rPr>
          <w:i/>
          <w:iCs/>
        </w:rPr>
      </w:pPr>
      <w:proofErr w:type="gramStart"/>
      <w:r>
        <w:t>a)  As</w:t>
      </w:r>
      <w:proofErr w:type="gramEnd"/>
      <w:r>
        <w:t xml:space="preserve"> a forest manager, your task is to find the </w:t>
      </w:r>
      <w:r>
        <w:rPr>
          <w:b/>
          <w:bCs/>
        </w:rPr>
        <w:t>maximum sustainable annual harvest.</w:t>
      </w:r>
      <w:r>
        <w:t xml:space="preserve">   This is the maximum amount of hardwoods that can be removed each year from the </w:t>
      </w:r>
      <w:r>
        <w:br/>
        <w:t xml:space="preserve">1-hectare plot of tropical forest without having the forest “crash.”  The answer lies somewhere between 3.2 Mg C and 6.4 Mg C.  You may find this harvest level through a trial and error approach.  If doing so, investigate the harvests over a 500-year period.  Extra points will be awarded if you determine the level using an algebraic process.  </w:t>
      </w:r>
      <w:r>
        <w:rPr>
          <w:i/>
          <w:iCs/>
        </w:rPr>
        <w:t>State your answer and summarize work below.</w:t>
      </w:r>
    </w:p>
    <w:p w:rsidR="00E402B0" w:rsidRDefault="00E402B0">
      <w:pPr>
        <w:pStyle w:val="Default"/>
        <w:spacing w:line="312" w:lineRule="auto"/>
      </w:pPr>
    </w:p>
    <w:p w:rsidR="00E402B0" w:rsidRDefault="00514605">
      <w:pPr>
        <w:pStyle w:val="Default"/>
        <w:spacing w:line="312" w:lineRule="auto"/>
      </w:pPr>
      <w:r>
        <w:t>The maximum sustainable annual harvest is 4.05.</w:t>
      </w:r>
    </w:p>
    <w:p w:rsidR="00E402B0" w:rsidRDefault="00E402B0">
      <w:pPr>
        <w:pStyle w:val="Default"/>
        <w:spacing w:line="312" w:lineRule="auto"/>
      </w:pPr>
    </w:p>
    <w:p w:rsidR="00E402B0" w:rsidRDefault="00E402B0">
      <w:pPr>
        <w:pStyle w:val="Default"/>
        <w:spacing w:line="312" w:lineRule="auto"/>
      </w:pPr>
      <w:proofErr w:type="gramStart"/>
      <w:r>
        <w:t>b)  Under</w:t>
      </w:r>
      <w:proofErr w:type="gramEnd"/>
      <w:r>
        <w:t xml:space="preserve"> the level that you determined, how much hardwood is removed from the forest after 500 years?  </w:t>
      </w:r>
    </w:p>
    <w:p w:rsidR="00E402B0" w:rsidRDefault="00514605">
      <w:pPr>
        <w:pStyle w:val="Default"/>
        <w:spacing w:line="312" w:lineRule="auto"/>
      </w:pPr>
      <w:r>
        <w:t xml:space="preserve">500years*4.50 </w:t>
      </w:r>
      <w:proofErr w:type="spellStart"/>
      <w:r>
        <w:t>MgC</w:t>
      </w:r>
      <w:proofErr w:type="spellEnd"/>
      <w:r>
        <w:t xml:space="preserve">= 2250 </w:t>
      </w:r>
      <w:proofErr w:type="spellStart"/>
      <w:r>
        <w:t>MgC</w:t>
      </w:r>
      <w:proofErr w:type="spellEnd"/>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roofErr w:type="gramStart"/>
      <w:r>
        <w:t>c)  Add</w:t>
      </w:r>
      <w:proofErr w:type="gramEnd"/>
      <w:r>
        <w:t xml:space="preserve"> an extra column to the comparison table on the previous page, and label it selective logging strategy #3.  Fill in the appropriate values using your answers from the previous questions.</w:t>
      </w:r>
    </w:p>
    <w:p w:rsidR="00E402B0" w:rsidRDefault="00E402B0">
      <w:pPr>
        <w:pStyle w:val="Default"/>
        <w:pageBreakBefore/>
        <w:spacing w:line="312" w:lineRule="auto"/>
      </w:pPr>
      <w:proofErr w:type="gramStart"/>
      <w:r>
        <w:t>d)  Many</w:t>
      </w:r>
      <w:proofErr w:type="gramEnd"/>
      <w:r>
        <w:t xml:space="preserve"> environmentalists think that a sustainable harvesting strategy leaves the forest in a “virgin” state.  Give an example (based upon what you learned in this project) in which this thinking would be false.</w:t>
      </w:r>
    </w:p>
    <w:p w:rsidR="00E402B0" w:rsidRDefault="00E402B0">
      <w:pPr>
        <w:pStyle w:val="Footer"/>
        <w:tabs>
          <w:tab w:val="clear" w:pos="4320"/>
          <w:tab w:val="clear" w:pos="8640"/>
        </w:tabs>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
    <w:p w:rsidR="00E402B0" w:rsidRDefault="00E402B0">
      <w:pPr>
        <w:pStyle w:val="Default"/>
        <w:spacing w:line="312" w:lineRule="auto"/>
      </w:pPr>
      <w:proofErr w:type="gramStart"/>
      <w:r>
        <w:t>e)  Many</w:t>
      </w:r>
      <w:proofErr w:type="gramEnd"/>
      <w:r>
        <w:t xml:space="preserve"> people who are “pro-harvest” think that reducing annual harvests today will result in lower total harvests in the future, and lead to the loss of jobs.  Give an example in which this thinking would be false.</w:t>
      </w:r>
    </w:p>
    <w:p w:rsidR="00E402B0" w:rsidRDefault="00E402B0">
      <w:pPr>
        <w:pStyle w:val="Default"/>
        <w:spacing w:line="312" w:lineRule="auto"/>
      </w:pPr>
    </w:p>
    <w:p w:rsidR="00E402B0" w:rsidRDefault="004E553A">
      <w:pPr>
        <w:pStyle w:val="Default"/>
        <w:spacing w:line="312" w:lineRule="auto"/>
      </w:pPr>
      <w:r>
        <w:t>This thinking would be false because reducing the annual harvest today would allow or allow for a higher level of hardwood left and more hardwood left to be harvested in the future. So lower annual harvest wouldn’t necessarily result in lower total harvest in the future.</w:t>
      </w:r>
    </w:p>
    <w:p w:rsidR="00E402B0" w:rsidRDefault="00E402B0">
      <w:pPr>
        <w:pStyle w:val="Default"/>
        <w:spacing w:line="312" w:lineRule="auto"/>
      </w:pPr>
    </w:p>
    <w:sectPr w:rsidR="00E402B0" w:rsidSect="00D93713">
      <w:headerReference w:type="default" r:id="rId23"/>
      <w:footerReference w:type="default" r:id="rId24"/>
      <w:headerReference w:type="first" r:id="rId25"/>
      <w:footerReference w:type="first" r:id="rId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iberation Sans">
    <w:altName w:val="Arial"/>
    <w:charset w:val="80"/>
    <w:family w:val="swiss"/>
    <w:pitch w:val="variable"/>
    <w:sig w:usb0="00000000" w:usb1="00000000" w:usb2="00000000" w:usb3="00000000" w:csb0="00000000" w:csb1="00000000"/>
  </w:font>
  <w:font w:name="DejaVu LGC Sans">
    <w:charset w:val="80"/>
    <w:family w:val="auto"/>
    <w:pitch w:val="variable"/>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05" w:rsidRDefault="00514605">
    <w:pPr>
      <w:pStyle w:val="Footer"/>
    </w:pPr>
    <w:r>
      <w:pict>
        <v:shapetype id="_x0000_t202" coordsize="21600,21600" o:spt="202" path="m0,0l0,21600,21600,21600,21600,0xe">
          <v:stroke joinstyle="miter"/>
          <v:path gradientshapeok="t" o:connecttype="rect"/>
        </v:shapetype>
        <v:shape id="_x0000_s1025"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514605" w:rsidRDefault="00514605">
                <w:pPr>
                  <w:pStyle w:val="Footer"/>
                </w:pPr>
                <w:r>
                  <w:rPr>
                    <w:rStyle w:val="PageNumber"/>
                  </w:rPr>
                  <w:fldChar w:fldCharType="begin"/>
                </w:r>
                <w:r>
                  <w:rPr>
                    <w:rStyle w:val="PageNumber"/>
                  </w:rPr>
                  <w:instrText xml:space="preserve"> PAGE </w:instrText>
                </w:r>
                <w:r>
                  <w:rPr>
                    <w:rStyle w:val="PageNumber"/>
                  </w:rPr>
                  <w:fldChar w:fldCharType="separate"/>
                </w:r>
                <w:r w:rsidR="004E553A">
                  <w:rPr>
                    <w:rStyle w:val="PageNumber"/>
                    <w:noProof/>
                  </w:rPr>
                  <w:t>6</w:t>
                </w:r>
                <w:r>
                  <w:rPr>
                    <w:rStyle w:val="PageNumber"/>
                  </w:rPr>
                  <w:fldChar w:fldCharType="end"/>
                </w:r>
              </w:p>
            </w:txbxContent>
          </v:textbox>
          <w10:wrap type="square" side="largest" anchorx="margin"/>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05" w:rsidRDefault="00514605">
    <w:pPr>
      <w:pStyle w:val="Defaul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14605" w:rsidRDefault="00514605">
      <w:pPr>
        <w:pStyle w:val="Footnote"/>
      </w:pPr>
      <w:r>
        <w:rPr>
          <w:rStyle w:val="FootnoteCharacters"/>
        </w:rPr>
        <w:t>*</w:t>
      </w:r>
      <w:r>
        <w:tab/>
        <w:t xml:space="preserve"> Harte, J. (1988) </w:t>
      </w:r>
      <w:r>
        <w:rPr>
          <w:i/>
          <w:iCs/>
        </w:rPr>
        <w:t>Consider a Spherical Cow, A Course in Environmental Problem Solving</w:t>
      </w:r>
      <w:r>
        <w:t>, University Science Books, Sausalito, CA., p.232.</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05" w:rsidRDefault="00514605">
    <w:pPr>
      <w:pStyle w:val="Header"/>
      <w:jc w:val="center"/>
      <w:rPr>
        <w:i/>
        <w:sz w:val="20"/>
      </w:rPr>
    </w:pPr>
    <w:r>
      <w:rPr>
        <w:i/>
        <w:sz w:val="20"/>
      </w:rPr>
      <w:tab/>
      <w:t xml:space="preserve">MONT 104N – Modeling the Environment </w:t>
    </w:r>
  </w:p>
  <w:p w:rsidR="00514605" w:rsidRDefault="00514605">
    <w:pPr>
      <w:pStyle w:val="Header"/>
      <w:jc w:val="center"/>
      <w:rPr>
        <w:i/>
        <w:sz w:val="2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05" w:rsidRDefault="00514605">
    <w:pPr>
      <w:pStyle w:val="Defaul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revisionView w:insDel="0" w:formatting="0"/>
  <w:doNotTrackMoves/>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60">
      <o:colormenu v:ext="edit" fillcolor="none [4]" strokecolor="none [1]" shadowcolor="none [2]"/>
    </o:shapedefaults>
    <o:shapelayout v:ext="edit">
      <o:idmap v:ext="edit" data="1"/>
    </o:shapelayout>
  </w:hdrShapeDefaults>
  <w:compat/>
  <w:rsids>
    <w:rsidRoot w:val="00E402B0"/>
    <w:rsid w:val="00251EC9"/>
    <w:rsid w:val="00380108"/>
    <w:rsid w:val="003C23EA"/>
    <w:rsid w:val="004E553A"/>
    <w:rsid w:val="00503094"/>
    <w:rsid w:val="00514605"/>
    <w:rsid w:val="00552637"/>
    <w:rsid w:val="005C12DE"/>
    <w:rsid w:val="00665C8E"/>
    <w:rsid w:val="006D0C78"/>
    <w:rsid w:val="006E6293"/>
    <w:rsid w:val="007B1AC8"/>
    <w:rsid w:val="007D1A9B"/>
    <w:rsid w:val="009A1255"/>
    <w:rsid w:val="009C0755"/>
    <w:rsid w:val="009E05DC"/>
    <w:rsid w:val="00A87FE3"/>
    <w:rsid w:val="00D93713"/>
    <w:rsid w:val="00DE0EF7"/>
    <w:rsid w:val="00E402B0"/>
    <w:rsid w:val="00F843BD"/>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qFormat/>
    <w:rsid w:val="00D93713"/>
    <w:pPr>
      <w:keepNext/>
      <w:numPr>
        <w:numId w:val="1"/>
      </w:numPr>
      <w:spacing w:line="312" w:lineRule="auto"/>
      <w:outlineLvl w:val="0"/>
    </w:pPr>
    <w:rPr>
      <w:b/>
      <w:bCs/>
    </w:rPr>
  </w:style>
  <w:style w:type="paragraph" w:styleId="Heading2">
    <w:name w:val="heading 2"/>
    <w:basedOn w:val="Default"/>
    <w:next w:val="Default"/>
    <w:qFormat/>
    <w:rsid w:val="00D93713"/>
    <w:pPr>
      <w:keepNext/>
      <w:numPr>
        <w:ilvl w:val="1"/>
        <w:numId w:val="1"/>
      </w:numPr>
      <w:spacing w:line="312" w:lineRule="auto"/>
      <w:outlineLvl w:val="1"/>
    </w:pPr>
    <w:rPr>
      <w:b/>
      <w:bCs/>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D93713"/>
    <w:pPr>
      <w:suppressAutoHyphens/>
    </w:pPr>
    <w:rPr>
      <w:sz w:val="24"/>
      <w:lang w:eastAsia="ar-SA"/>
    </w:rPr>
  </w:style>
  <w:style w:type="character" w:customStyle="1" w:styleId="Absatz-Standardschriftart">
    <w:name w:val="Absatz-Standardschriftart"/>
    <w:rsid w:val="00D93713"/>
  </w:style>
  <w:style w:type="character" w:customStyle="1" w:styleId="WW8Num1z0">
    <w:name w:val="WW8Num1z0"/>
    <w:rsid w:val="00D93713"/>
    <w:rPr>
      <w:rFonts w:ascii="Symbol" w:hAnsi="Symbol"/>
      <w:sz w:val="24"/>
    </w:rPr>
  </w:style>
  <w:style w:type="character" w:customStyle="1" w:styleId="WW8Num1z1">
    <w:name w:val="WW8Num1z1"/>
    <w:rsid w:val="00D93713"/>
    <w:rPr>
      <w:rFonts w:ascii="Courier New" w:hAnsi="Courier New"/>
    </w:rPr>
  </w:style>
  <w:style w:type="character" w:customStyle="1" w:styleId="WW8Num1z2">
    <w:name w:val="WW8Num1z2"/>
    <w:rsid w:val="00D93713"/>
    <w:rPr>
      <w:rFonts w:ascii="Wingdings" w:hAnsi="Wingdings"/>
    </w:rPr>
  </w:style>
  <w:style w:type="character" w:customStyle="1" w:styleId="WW8Num1z3">
    <w:name w:val="WW8Num1z3"/>
    <w:rsid w:val="00D93713"/>
    <w:rPr>
      <w:rFonts w:ascii="Symbol" w:hAnsi="Symbol"/>
    </w:rPr>
  </w:style>
  <w:style w:type="character" w:customStyle="1" w:styleId="WW8Num2z0">
    <w:name w:val="WW8Num2z0"/>
    <w:rsid w:val="00D93713"/>
    <w:rPr>
      <w:rFonts w:ascii="Symbol" w:hAnsi="Symbol"/>
      <w:sz w:val="24"/>
    </w:rPr>
  </w:style>
  <w:style w:type="character" w:customStyle="1" w:styleId="WW8Num2z1">
    <w:name w:val="WW8Num2z1"/>
    <w:rsid w:val="00D93713"/>
    <w:rPr>
      <w:rFonts w:ascii="Courier New" w:hAnsi="Courier New"/>
    </w:rPr>
  </w:style>
  <w:style w:type="character" w:customStyle="1" w:styleId="WW8Num2z2">
    <w:name w:val="WW8Num2z2"/>
    <w:rsid w:val="00D93713"/>
    <w:rPr>
      <w:rFonts w:ascii="Wingdings" w:hAnsi="Wingdings"/>
    </w:rPr>
  </w:style>
  <w:style w:type="character" w:customStyle="1" w:styleId="WW8Num2z3">
    <w:name w:val="WW8Num2z3"/>
    <w:rsid w:val="00D93713"/>
    <w:rPr>
      <w:rFonts w:ascii="Symbol" w:hAnsi="Symbol"/>
    </w:rPr>
  </w:style>
  <w:style w:type="character" w:customStyle="1" w:styleId="WW8Num3z0">
    <w:name w:val="WW8Num3z0"/>
    <w:rsid w:val="00D93713"/>
    <w:rPr>
      <w:rFonts w:ascii="Symbol" w:hAnsi="Symbol"/>
      <w:sz w:val="24"/>
    </w:rPr>
  </w:style>
  <w:style w:type="character" w:customStyle="1" w:styleId="WW8Num3z1">
    <w:name w:val="WW8Num3z1"/>
    <w:rsid w:val="00D93713"/>
    <w:rPr>
      <w:rFonts w:ascii="Courier New" w:hAnsi="Courier New"/>
    </w:rPr>
  </w:style>
  <w:style w:type="character" w:customStyle="1" w:styleId="WW8Num3z2">
    <w:name w:val="WW8Num3z2"/>
    <w:rsid w:val="00D93713"/>
    <w:rPr>
      <w:rFonts w:ascii="Wingdings" w:hAnsi="Wingdings"/>
    </w:rPr>
  </w:style>
  <w:style w:type="character" w:customStyle="1" w:styleId="WW8Num3z3">
    <w:name w:val="WW8Num3z3"/>
    <w:rsid w:val="00D93713"/>
    <w:rPr>
      <w:rFonts w:ascii="Symbol" w:hAnsi="Symbol"/>
    </w:rPr>
  </w:style>
  <w:style w:type="character" w:customStyle="1" w:styleId="WW8Num5z0">
    <w:name w:val="WW8Num5z0"/>
    <w:rsid w:val="00D93713"/>
    <w:rPr>
      <w:rFonts w:ascii="Symbol" w:hAnsi="Symbol"/>
      <w:sz w:val="24"/>
    </w:rPr>
  </w:style>
  <w:style w:type="character" w:customStyle="1" w:styleId="WW8Num5z1">
    <w:name w:val="WW8Num5z1"/>
    <w:rsid w:val="00D93713"/>
    <w:rPr>
      <w:rFonts w:ascii="Courier New" w:hAnsi="Courier New"/>
    </w:rPr>
  </w:style>
  <w:style w:type="character" w:customStyle="1" w:styleId="WW8Num5z2">
    <w:name w:val="WW8Num5z2"/>
    <w:rsid w:val="00D93713"/>
    <w:rPr>
      <w:rFonts w:ascii="Wingdings" w:hAnsi="Wingdings"/>
    </w:rPr>
  </w:style>
  <w:style w:type="character" w:customStyle="1" w:styleId="WW8Num5z3">
    <w:name w:val="WW8Num5z3"/>
    <w:rsid w:val="00D93713"/>
    <w:rPr>
      <w:rFonts w:ascii="Symbol" w:hAnsi="Symbol"/>
    </w:rPr>
  </w:style>
  <w:style w:type="character" w:customStyle="1" w:styleId="WW8Num6z0">
    <w:name w:val="WW8Num6z0"/>
    <w:rsid w:val="00D93713"/>
    <w:rPr>
      <w:rFonts w:ascii="Symbol" w:hAnsi="Symbol"/>
      <w:sz w:val="24"/>
    </w:rPr>
  </w:style>
  <w:style w:type="character" w:customStyle="1" w:styleId="WW8Num6z1">
    <w:name w:val="WW8Num6z1"/>
    <w:rsid w:val="00D93713"/>
    <w:rPr>
      <w:rFonts w:ascii="Courier New" w:hAnsi="Courier New"/>
    </w:rPr>
  </w:style>
  <w:style w:type="character" w:customStyle="1" w:styleId="WW8Num6z2">
    <w:name w:val="WW8Num6z2"/>
    <w:rsid w:val="00D93713"/>
    <w:rPr>
      <w:rFonts w:ascii="Wingdings" w:hAnsi="Wingdings"/>
    </w:rPr>
  </w:style>
  <w:style w:type="character" w:customStyle="1" w:styleId="WW8Num6z3">
    <w:name w:val="WW8Num6z3"/>
    <w:rsid w:val="00D93713"/>
    <w:rPr>
      <w:rFonts w:ascii="Symbol" w:hAnsi="Symbol"/>
    </w:rPr>
  </w:style>
  <w:style w:type="character" w:customStyle="1" w:styleId="EndnoteCharacters">
    <w:name w:val="Endnote Characters"/>
    <w:rsid w:val="00D93713"/>
    <w:rPr>
      <w:vertAlign w:val="superscript"/>
    </w:rPr>
  </w:style>
  <w:style w:type="character" w:styleId="PageNumber">
    <w:name w:val="page number"/>
    <w:basedOn w:val="DefaultParagraphFont"/>
    <w:rsid w:val="00D93713"/>
  </w:style>
  <w:style w:type="character" w:customStyle="1" w:styleId="FootnoteCharacters">
    <w:name w:val="Footnote Characters"/>
    <w:rsid w:val="00D93713"/>
    <w:rPr>
      <w:vertAlign w:val="superscript"/>
    </w:rPr>
  </w:style>
  <w:style w:type="character" w:customStyle="1" w:styleId="Footnoteanchor">
    <w:name w:val="Footnote anchor"/>
    <w:rsid w:val="00D93713"/>
    <w:rPr>
      <w:vertAlign w:val="superscript"/>
    </w:rPr>
  </w:style>
  <w:style w:type="character" w:customStyle="1" w:styleId="Endnoteanchor">
    <w:name w:val="Endnote anchor"/>
    <w:rsid w:val="00D93713"/>
    <w:rPr>
      <w:vertAlign w:val="superscript"/>
    </w:rPr>
  </w:style>
  <w:style w:type="paragraph" w:customStyle="1" w:styleId="Heading">
    <w:name w:val="Heading"/>
    <w:basedOn w:val="Default"/>
    <w:next w:val="Textbody"/>
    <w:rsid w:val="00D93713"/>
    <w:pPr>
      <w:keepNext/>
      <w:spacing w:before="240" w:after="120"/>
    </w:pPr>
    <w:rPr>
      <w:rFonts w:ascii="Liberation Sans" w:eastAsia="DejaVu LGC Sans" w:hAnsi="Liberation Sans" w:cs="DejaVu LGC Sans"/>
      <w:sz w:val="28"/>
      <w:szCs w:val="28"/>
    </w:rPr>
  </w:style>
  <w:style w:type="paragraph" w:customStyle="1" w:styleId="Textbody">
    <w:name w:val="Text body"/>
    <w:basedOn w:val="Default"/>
    <w:rsid w:val="00D93713"/>
    <w:pPr>
      <w:spacing w:after="120"/>
    </w:pPr>
  </w:style>
  <w:style w:type="paragraph" w:styleId="List">
    <w:name w:val="List"/>
    <w:basedOn w:val="Textbody"/>
    <w:rsid w:val="00D93713"/>
  </w:style>
  <w:style w:type="paragraph" w:styleId="Caption">
    <w:name w:val="caption"/>
    <w:basedOn w:val="Default"/>
    <w:qFormat/>
    <w:rsid w:val="00D93713"/>
    <w:pPr>
      <w:suppressLineNumbers/>
      <w:spacing w:before="120" w:after="120"/>
    </w:pPr>
    <w:rPr>
      <w:i/>
      <w:iCs/>
      <w:szCs w:val="24"/>
    </w:rPr>
  </w:style>
  <w:style w:type="paragraph" w:customStyle="1" w:styleId="Index">
    <w:name w:val="Index"/>
    <w:basedOn w:val="Default"/>
    <w:rsid w:val="00D93713"/>
    <w:pPr>
      <w:suppressLineNumbers/>
    </w:pPr>
  </w:style>
  <w:style w:type="paragraph" w:customStyle="1" w:styleId="Endnote">
    <w:name w:val="Endnote"/>
    <w:basedOn w:val="Default"/>
    <w:rsid w:val="00D93713"/>
    <w:rPr>
      <w:sz w:val="20"/>
    </w:rPr>
  </w:style>
  <w:style w:type="paragraph" w:styleId="Footer">
    <w:name w:val="footer"/>
    <w:basedOn w:val="Default"/>
    <w:rsid w:val="00D93713"/>
    <w:pPr>
      <w:tabs>
        <w:tab w:val="center" w:pos="4320"/>
        <w:tab w:val="right" w:pos="8640"/>
      </w:tabs>
    </w:pPr>
  </w:style>
  <w:style w:type="paragraph" w:customStyle="1" w:styleId="Footnote">
    <w:name w:val="Footnote"/>
    <w:basedOn w:val="Default"/>
    <w:rsid w:val="00D93713"/>
    <w:rPr>
      <w:sz w:val="20"/>
    </w:rPr>
  </w:style>
  <w:style w:type="paragraph" w:styleId="Header">
    <w:name w:val="header"/>
    <w:basedOn w:val="Default"/>
    <w:rsid w:val="00D93713"/>
    <w:pPr>
      <w:tabs>
        <w:tab w:val="center" w:pos="4320"/>
        <w:tab w:val="right" w:pos="8640"/>
      </w:tabs>
    </w:pPr>
  </w:style>
  <w:style w:type="paragraph" w:customStyle="1" w:styleId="TableContents">
    <w:name w:val="Table Contents"/>
    <w:basedOn w:val="Default"/>
    <w:rsid w:val="00D93713"/>
    <w:pPr>
      <w:suppressLineNumbers/>
    </w:pPr>
  </w:style>
  <w:style w:type="paragraph" w:customStyle="1" w:styleId="TableHeading">
    <w:name w:val="Table Heading"/>
    <w:basedOn w:val="TableContents"/>
    <w:rsid w:val="00D93713"/>
    <w:pPr>
      <w:jc w:val="center"/>
    </w:pPr>
    <w:rPr>
      <w:b/>
      <w:bCs/>
    </w:rPr>
  </w:style>
  <w:style w:type="paragraph" w:customStyle="1" w:styleId="Framecontents">
    <w:name w:val="Frame contents"/>
    <w:basedOn w:val="Textbody"/>
    <w:rsid w:val="00D9371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oleObject" Target="embeddings/Microsoft_Equation2.bin"/><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image" Target="media/image4.png"/><Relationship Id="rId16" Type="http://schemas.openxmlformats.org/officeDocument/2006/relationships/image" Target="media/image5.pict"/><Relationship Id="rId17" Type="http://schemas.openxmlformats.org/officeDocument/2006/relationships/oleObject" Target="embeddings/Microsoft_Equation1.bin"/><Relationship Id="rId18" Type="http://schemas.openxmlformats.org/officeDocument/2006/relationships/image" Target="media/image6.png"/><Relationship Id="rId19" Type="http://schemas.openxmlformats.org/officeDocument/2006/relationships/image" Target="media/image7.pict"/><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erthoGay:Documents:Project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oberthoGay:Documents:Project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oberthoGay:Documents:Project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scatterChart>
        <c:scatterStyle val="lineMarker"/>
        <c:ser>
          <c:idx val="0"/>
          <c:order val="0"/>
          <c:spPr>
            <a:ln w="28575">
              <a:noFill/>
            </a:ln>
          </c:spPr>
          <c:xVal>
            <c:numRef>
              <c:f>Sheet1!$D$1:$D$151</c:f>
              <c:numCache>
                <c:formatCode>General</c:formatCode>
                <c:ptCount val="15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numCache>
            </c:numRef>
          </c:xVal>
          <c:yVal>
            <c:numRef>
              <c:f>Sheet1!$E$1:$E$151</c:f>
              <c:numCache>
                <c:formatCode>General</c:formatCode>
                <c:ptCount val="151"/>
                <c:pt idx="0">
                  <c:v>1.3</c:v>
                </c:pt>
                <c:pt idx="1">
                  <c:v>1.42894375</c:v>
                </c:pt>
                <c:pt idx="2">
                  <c:v>1.570561949849585</c:v>
                </c:pt>
                <c:pt idx="3">
                  <c:v>1.726076479310597</c:v>
                </c:pt>
                <c:pt idx="4">
                  <c:v>1.896822039733888</c:v>
                </c:pt>
                <c:pt idx="5">
                  <c:v>2.084255535050763</c:v>
                </c:pt>
                <c:pt idx="6">
                  <c:v>2.289966012846223</c:v>
                </c:pt>
                <c:pt idx="7">
                  <c:v>2.515685148918351</c:v>
                </c:pt>
                <c:pt idx="8">
                  <c:v>2.763298243954881</c:v>
                </c:pt>
                <c:pt idx="9">
                  <c:v>3.034855682609717</c:v>
                </c:pt>
                <c:pt idx="10">
                  <c:v>3.332584782736771</c:v>
                </c:pt>
                <c:pt idx="11">
                  <c:v>3.658901935176618</c:v>
                </c:pt>
                <c:pt idx="12">
                  <c:v>4.016424901587254</c:v>
                </c:pt>
                <c:pt idx="13">
                  <c:v>4.407985098627175</c:v>
                </c:pt>
                <c:pt idx="14">
                  <c:v>4.836639650596319</c:v>
                </c:pt>
                <c:pt idx="15">
                  <c:v>5.305682938712375</c:v>
                </c:pt>
                <c:pt idx="16">
                  <c:v>5.818657312929774</c:v>
                </c:pt>
                <c:pt idx="17">
                  <c:v>6.379362561144431</c:v>
                </c:pt>
                <c:pt idx="18">
                  <c:v>6.991863650579794</c:v>
                </c:pt>
                <c:pt idx="19">
                  <c:v>7.660496167320086</c:v>
                </c:pt>
                <c:pt idx="20">
                  <c:v>8.389868783096141</c:v>
                </c:pt>
                <c:pt idx="21">
                  <c:v>9.184861975032275</c:v>
                </c:pt>
                <c:pt idx="22">
                  <c:v>10.05062211659776</c:v>
                </c:pt>
                <c:pt idx="23">
                  <c:v>10.99254995017588</c:v>
                </c:pt>
                <c:pt idx="24">
                  <c:v>12.01628234868903</c:v>
                </c:pt>
                <c:pt idx="25">
                  <c:v>13.1276661826308</c:v>
                </c:pt>
                <c:pt idx="26">
                  <c:v>14.33272303876726</c:v>
                </c:pt>
                <c:pt idx="27">
                  <c:v>15.63760349907773</c:v>
                </c:pt>
                <c:pt idx="28">
                  <c:v>17.04852969698901</c:v>
                </c:pt>
                <c:pt idx="29">
                  <c:v>18.57172493866974</c:v>
                </c:pt>
                <c:pt idx="30">
                  <c:v>20.21332932803821</c:v>
                </c:pt>
                <c:pt idx="31">
                  <c:v>21.9793005842647</c:v>
                </c:pt>
                <c:pt idx="32">
                  <c:v>23.87529960883276</c:v>
                </c:pt>
                <c:pt idx="33">
                  <c:v>25.90656086258382</c:v>
                </c:pt>
                <c:pt idx="34">
                  <c:v>28.07774826401299</c:v>
                </c:pt>
                <c:pt idx="35">
                  <c:v>30.3927981231785</c:v>
                </c:pt>
                <c:pt idx="36">
                  <c:v>32.85475157439864</c:v>
                </c:pt>
                <c:pt idx="37">
                  <c:v>35.46558004370388</c:v>
                </c:pt>
                <c:pt idx="38">
                  <c:v>38.22600844317654</c:v>
                </c:pt>
                <c:pt idx="39">
                  <c:v>41.13534196155807</c:v>
                </c:pt>
                <c:pt idx="40">
                  <c:v>44.19130343377992</c:v>
                </c:pt>
                <c:pt idx="41">
                  <c:v>47.38988921517264</c:v>
                </c:pt>
                <c:pt idx="42">
                  <c:v>50.72525213679848</c:v>
                </c:pt>
                <c:pt idx="43">
                  <c:v>54.18962034776472</c:v>
                </c:pt>
                <c:pt idx="44">
                  <c:v>57.77326053664439</c:v>
                </c:pt>
                <c:pt idx="45">
                  <c:v>61.46449306966195</c:v>
                </c:pt>
                <c:pt idx="46">
                  <c:v>65.2497649339341</c:v>
                </c:pt>
                <c:pt idx="47">
                  <c:v>69.11378403736894</c:v>
                </c:pt>
                <c:pt idx="48">
                  <c:v>73.03971547612831</c:v>
                </c:pt>
                <c:pt idx="49">
                  <c:v>77.00943700072001</c:v>
                </c:pt>
                <c:pt idx="50">
                  <c:v>81.00384733381215</c:v>
                </c:pt>
                <c:pt idx="51">
                  <c:v>85.00321751539364</c:v>
                </c:pt>
                <c:pt idx="52">
                  <c:v>88.98757239945218</c:v>
                </c:pt>
                <c:pt idx="53">
                  <c:v>92.93708711343005</c:v>
                </c:pt>
                <c:pt idx="54">
                  <c:v>96.83248197406728</c:v>
                </c:pt>
                <c:pt idx="55">
                  <c:v>100.6553991931877</c:v>
                </c:pt>
                <c:pt idx="56">
                  <c:v>104.388745745794</c:v>
                </c:pt>
                <c:pt idx="57">
                  <c:v>108.016988921386</c:v>
                </c:pt>
                <c:pt idx="58">
                  <c:v>111.5263941287478</c:v>
                </c:pt>
                <c:pt idx="59">
                  <c:v>114.9051981745221</c:v>
                </c:pt>
                <c:pt idx="60">
                  <c:v>118.1437151372704</c:v>
                </c:pt>
                <c:pt idx="61">
                  <c:v>121.2343757594747</c:v>
                </c:pt>
                <c:pt idx="62">
                  <c:v>124.1717046693037</c:v>
                </c:pt>
                <c:pt idx="63">
                  <c:v>126.9522424859336</c:v>
                </c:pt>
                <c:pt idx="64">
                  <c:v>129.5744218143975</c:v>
                </c:pt>
                <c:pt idx="65">
                  <c:v>132.0384072530026</c:v>
                </c:pt>
                <c:pt idx="66">
                  <c:v>134.3459098596092</c:v>
                </c:pt>
                <c:pt idx="67">
                  <c:v>136.4999861605663</c:v>
                </c:pt>
                <c:pt idx="68">
                  <c:v>138.5048308879762</c:v>
                </c:pt>
                <c:pt idx="69">
                  <c:v>140.365571364707</c:v>
                </c:pt>
                <c:pt idx="70">
                  <c:v>142.0880699858398</c:v>
                </c:pt>
                <c:pt idx="71">
                  <c:v>143.6787397142357</c:v>
                </c:pt>
                <c:pt idx="72">
                  <c:v>145.14437603199</c:v>
                </c:pt>
                <c:pt idx="73">
                  <c:v>146.4920074516166</c:v>
                </c:pt>
                <c:pt idx="74">
                  <c:v>147.7287655422755</c:v>
                </c:pt>
                <c:pt idx="75">
                  <c:v>148.8617744911002</c:v>
                </c:pt>
                <c:pt idx="76">
                  <c:v>149.8980594998107</c:v>
                </c:pt>
                <c:pt idx="77">
                  <c:v>150.8444727986613</c:v>
                </c:pt>
                <c:pt idx="78">
                  <c:v>151.7076357198361</c:v>
                </c:pt>
                <c:pt idx="79">
                  <c:v>152.4938950820057</c:v>
                </c:pt>
                <c:pt idx="80">
                  <c:v>153.2092920669052</c:v>
                </c:pt>
                <c:pt idx="81">
                  <c:v>153.8595417888193</c:v>
                </c:pt>
                <c:pt idx="82">
                  <c:v>154.4500218430353</c:v>
                </c:pt>
                <c:pt idx="83">
                  <c:v>154.9857682477676</c:v>
                </c:pt>
                <c:pt idx="84">
                  <c:v>155.4714773479501</c:v>
                </c:pt>
                <c:pt idx="85">
                  <c:v>155.9115124147738</c:v>
                </c:pt>
                <c:pt idx="86">
                  <c:v>156.3099138415874</c:v>
                </c:pt>
                <c:pt idx="87">
                  <c:v>156.6704119975183</c:v>
                </c:pt>
                <c:pt idx="88">
                  <c:v>156.9964419501001</c:v>
                </c:pt>
                <c:pt idx="89">
                  <c:v>157.2911594044907</c:v>
                </c:pt>
                <c:pt idx="90">
                  <c:v>157.5574573281842</c:v>
                </c:pt>
                <c:pt idx="91">
                  <c:v>157.797982836176</c:v>
                </c:pt>
                <c:pt idx="92">
                  <c:v>158.0151540028148</c:v>
                </c:pt>
                <c:pt idx="93">
                  <c:v>158.211176344013</c:v>
                </c:pt>
                <c:pt idx="94">
                  <c:v>158.3880587783166</c:v>
                </c:pt>
                <c:pt idx="95">
                  <c:v>158.5476289289211</c:v>
                </c:pt>
                <c:pt idx="96">
                  <c:v>158.691547672449</c:v>
                </c:pt>
                <c:pt idx="97">
                  <c:v>158.8213228755206</c:v>
                </c:pt>
                <c:pt idx="98">
                  <c:v>158.9383222881162</c:v>
                </c:pt>
                <c:pt idx="99">
                  <c:v>159.0437855845771</c:v>
                </c:pt>
                <c:pt idx="100">
                  <c:v>159.1388355598643</c:v>
                </c:pt>
                <c:pt idx="101">
                  <c:v>159.2244885012573</c:v>
                </c:pt>
                <c:pt idx="102">
                  <c:v>159.3016637648284</c:v>
                </c:pt>
                <c:pt idx="103">
                  <c:v>159.37119259241</c:v>
                </c:pt>
                <c:pt idx="104">
                  <c:v>159.4338262089465</c:v>
                </c:pt>
                <c:pt idx="105">
                  <c:v>159.4902432425758</c:v>
                </c:pt>
                <c:pt idx="106">
                  <c:v>159.5410565108484</c:v>
                </c:pt>
                <c:pt idx="107">
                  <c:v>159.5868192165597</c:v>
                </c:pt>
                <c:pt idx="108">
                  <c:v>159.628030595929</c:v>
                </c:pt>
                <c:pt idx="109">
                  <c:v>159.6651410605625</c:v>
                </c:pt>
                <c:pt idx="110">
                  <c:v>159.698556872938</c:v>
                </c:pt>
                <c:pt idx="111">
                  <c:v>159.72864439317</c:v>
                </c:pt>
                <c:pt idx="112">
                  <c:v>159.755733932687</c:v>
                </c:pt>
                <c:pt idx="113">
                  <c:v>159.7801232482236</c:v>
                </c:pt>
                <c:pt idx="114">
                  <c:v>159.802080707285</c:v>
                </c:pt>
                <c:pt idx="115">
                  <c:v>159.8218481540275</c:v>
                </c:pt>
                <c:pt idx="116">
                  <c:v>159.8396435023246</c:v>
                </c:pt>
                <c:pt idx="117">
                  <c:v>159.8556630807132</c:v>
                </c:pt>
                <c:pt idx="118">
                  <c:v>159.8700837519255</c:v>
                </c:pt>
                <c:pt idx="119">
                  <c:v>159.8830648278383</c:v>
                </c:pt>
                <c:pt idx="120">
                  <c:v>159.8947497989079</c:v>
                </c:pt>
                <c:pt idx="121">
                  <c:v>159.9052678955141</c:v>
                </c:pt>
                <c:pt idx="122">
                  <c:v>159.9147354971054</c:v>
                </c:pt>
                <c:pt idx="123">
                  <c:v>159.9232574036227</c:v>
                </c:pt>
                <c:pt idx="124">
                  <c:v>159.9309279823691</c:v>
                </c:pt>
                <c:pt idx="125">
                  <c:v>159.9378322022925</c:v>
                </c:pt>
                <c:pt idx="126">
                  <c:v>159.9440465665413</c:v>
                </c:pt>
                <c:pt idx="127">
                  <c:v>159.9496399531455</c:v>
                </c:pt>
                <c:pt idx="128">
                  <c:v>159.954674372747</c:v>
                </c:pt>
                <c:pt idx="129">
                  <c:v>159.9592056514645</c:v>
                </c:pt>
                <c:pt idx="130">
                  <c:v>159.9632840462063</c:v>
                </c:pt>
                <c:pt idx="131">
                  <c:v>159.9669547990472</c:v>
                </c:pt>
                <c:pt idx="132">
                  <c:v>159.9702586366519</c:v>
                </c:pt>
                <c:pt idx="133">
                  <c:v>159.9732322201438</c:v>
                </c:pt>
                <c:pt idx="134">
                  <c:v>159.9759085503081</c:v>
                </c:pt>
                <c:pt idx="135">
                  <c:v>159.9783173325286</c:v>
                </c:pt>
                <c:pt idx="136">
                  <c:v>159.9804853054394</c:v>
                </c:pt>
                <c:pt idx="137">
                  <c:v>159.982436536881</c:v>
                </c:pt>
                <c:pt idx="138">
                  <c:v>159.984192690396</c:v>
                </c:pt>
                <c:pt idx="139">
                  <c:v>159.9857732651869</c:v>
                </c:pt>
                <c:pt idx="140">
                  <c:v>159.9871958121682</c:v>
                </c:pt>
                <c:pt idx="141">
                  <c:v>159.9884761284844</c:v>
                </c:pt>
                <c:pt idx="142">
                  <c:v>159.9896284326362</c:v>
                </c:pt>
                <c:pt idx="143">
                  <c:v>159.9906655221417</c:v>
                </c:pt>
                <c:pt idx="144">
                  <c:v>159.9915989154698</c:v>
                </c:pt>
                <c:pt idx="145">
                  <c:v>159.9924389798114</c:v>
                </c:pt>
                <c:pt idx="146">
                  <c:v>159.9931950460997</c:v>
                </c:pt>
                <c:pt idx="147">
                  <c:v>159.9938755125476</c:v>
                </c:pt>
                <c:pt idx="148">
                  <c:v>159.9944879378495</c:v>
                </c:pt>
                <c:pt idx="149">
                  <c:v>159.9950391250753</c:v>
                </c:pt>
                <c:pt idx="150">
                  <c:v>159.9955351971864</c:v>
                </c:pt>
              </c:numCache>
            </c:numRef>
          </c:yVal>
        </c:ser>
        <c:ser>
          <c:idx val="1"/>
          <c:order val="1"/>
          <c:spPr>
            <a:ln w="28575">
              <a:noFill/>
            </a:ln>
          </c:spPr>
          <c:marker>
            <c:symbol val="dot"/>
            <c:size val="3"/>
            <c:spPr>
              <a:ln w="3175" cmpd="sng">
                <a:prstDash val="sysDot"/>
              </a:ln>
            </c:spPr>
          </c:marker>
          <c:xVal>
            <c:numRef>
              <c:f>Sheet1!$D$1:$D$151</c:f>
              <c:numCache>
                <c:formatCode>General</c:formatCode>
                <c:ptCount val="15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numCache>
            </c:numRef>
          </c:xVal>
          <c:yVal>
            <c:numRef>
              <c:f>Sheet1!$F$1:$F$151</c:f>
              <c:numCache>
                <c:formatCode>General</c:formatCode>
                <c:ptCount val="151"/>
                <c:pt idx="0">
                  <c:v>160.0</c:v>
                </c:pt>
                <c:pt idx="1">
                  <c:v>160.0</c:v>
                </c:pt>
                <c:pt idx="2">
                  <c:v>160.0</c:v>
                </c:pt>
                <c:pt idx="3">
                  <c:v>160.0</c:v>
                </c:pt>
                <c:pt idx="4">
                  <c:v>160.0</c:v>
                </c:pt>
                <c:pt idx="5">
                  <c:v>160.0</c:v>
                </c:pt>
                <c:pt idx="6">
                  <c:v>160.0</c:v>
                </c:pt>
                <c:pt idx="7">
                  <c:v>160.0</c:v>
                </c:pt>
                <c:pt idx="8">
                  <c:v>160.0</c:v>
                </c:pt>
                <c:pt idx="9">
                  <c:v>160.0</c:v>
                </c:pt>
                <c:pt idx="10">
                  <c:v>160.0</c:v>
                </c:pt>
                <c:pt idx="11">
                  <c:v>160.0</c:v>
                </c:pt>
                <c:pt idx="12">
                  <c:v>160.0</c:v>
                </c:pt>
                <c:pt idx="13">
                  <c:v>160.0</c:v>
                </c:pt>
                <c:pt idx="14">
                  <c:v>160.0</c:v>
                </c:pt>
                <c:pt idx="15">
                  <c:v>160.0</c:v>
                </c:pt>
                <c:pt idx="16">
                  <c:v>160.0</c:v>
                </c:pt>
                <c:pt idx="17">
                  <c:v>160.0</c:v>
                </c:pt>
                <c:pt idx="18">
                  <c:v>160.0</c:v>
                </c:pt>
                <c:pt idx="19">
                  <c:v>160.0</c:v>
                </c:pt>
                <c:pt idx="20">
                  <c:v>160.0</c:v>
                </c:pt>
                <c:pt idx="21">
                  <c:v>160.0</c:v>
                </c:pt>
                <c:pt idx="22">
                  <c:v>160.0</c:v>
                </c:pt>
                <c:pt idx="23">
                  <c:v>160.0</c:v>
                </c:pt>
                <c:pt idx="24">
                  <c:v>160.0</c:v>
                </c:pt>
                <c:pt idx="25">
                  <c:v>160.0</c:v>
                </c:pt>
                <c:pt idx="26">
                  <c:v>160.0</c:v>
                </c:pt>
                <c:pt idx="27">
                  <c:v>160.0</c:v>
                </c:pt>
                <c:pt idx="28">
                  <c:v>160.0</c:v>
                </c:pt>
                <c:pt idx="29">
                  <c:v>160.0</c:v>
                </c:pt>
                <c:pt idx="30">
                  <c:v>160.0</c:v>
                </c:pt>
                <c:pt idx="31">
                  <c:v>160.0</c:v>
                </c:pt>
                <c:pt idx="32">
                  <c:v>160.0</c:v>
                </c:pt>
                <c:pt idx="33">
                  <c:v>160.0</c:v>
                </c:pt>
                <c:pt idx="34">
                  <c:v>160.0</c:v>
                </c:pt>
                <c:pt idx="35">
                  <c:v>160.0</c:v>
                </c:pt>
                <c:pt idx="36">
                  <c:v>160.0</c:v>
                </c:pt>
                <c:pt idx="37">
                  <c:v>160.0</c:v>
                </c:pt>
                <c:pt idx="38">
                  <c:v>160.0</c:v>
                </c:pt>
                <c:pt idx="39">
                  <c:v>160.0</c:v>
                </c:pt>
                <c:pt idx="40">
                  <c:v>160.0</c:v>
                </c:pt>
                <c:pt idx="41">
                  <c:v>160.0</c:v>
                </c:pt>
                <c:pt idx="42">
                  <c:v>160.0</c:v>
                </c:pt>
                <c:pt idx="43">
                  <c:v>160.0</c:v>
                </c:pt>
                <c:pt idx="44">
                  <c:v>160.0</c:v>
                </c:pt>
                <c:pt idx="45">
                  <c:v>160.0</c:v>
                </c:pt>
                <c:pt idx="46">
                  <c:v>160.0</c:v>
                </c:pt>
                <c:pt idx="47">
                  <c:v>160.0</c:v>
                </c:pt>
                <c:pt idx="48">
                  <c:v>160.0</c:v>
                </c:pt>
                <c:pt idx="49">
                  <c:v>160.0</c:v>
                </c:pt>
                <c:pt idx="50">
                  <c:v>160.0</c:v>
                </c:pt>
                <c:pt idx="51">
                  <c:v>160.0</c:v>
                </c:pt>
                <c:pt idx="52">
                  <c:v>160.0</c:v>
                </c:pt>
                <c:pt idx="53">
                  <c:v>160.0</c:v>
                </c:pt>
                <c:pt idx="54">
                  <c:v>160.0</c:v>
                </c:pt>
                <c:pt idx="55">
                  <c:v>160.0</c:v>
                </c:pt>
                <c:pt idx="56">
                  <c:v>160.0</c:v>
                </c:pt>
                <c:pt idx="57">
                  <c:v>160.0</c:v>
                </c:pt>
                <c:pt idx="58">
                  <c:v>160.0</c:v>
                </c:pt>
                <c:pt idx="59">
                  <c:v>160.0</c:v>
                </c:pt>
                <c:pt idx="60">
                  <c:v>160.0</c:v>
                </c:pt>
                <c:pt idx="61">
                  <c:v>160.0</c:v>
                </c:pt>
                <c:pt idx="62">
                  <c:v>160.0</c:v>
                </c:pt>
                <c:pt idx="63">
                  <c:v>160.0</c:v>
                </c:pt>
                <c:pt idx="64">
                  <c:v>160.0</c:v>
                </c:pt>
                <c:pt idx="65">
                  <c:v>160.0</c:v>
                </c:pt>
                <c:pt idx="66">
                  <c:v>160.0</c:v>
                </c:pt>
                <c:pt idx="67">
                  <c:v>160.0</c:v>
                </c:pt>
                <c:pt idx="68">
                  <c:v>160.0</c:v>
                </c:pt>
                <c:pt idx="69">
                  <c:v>160.0</c:v>
                </c:pt>
                <c:pt idx="70">
                  <c:v>160.0</c:v>
                </c:pt>
                <c:pt idx="71">
                  <c:v>160.0</c:v>
                </c:pt>
                <c:pt idx="72">
                  <c:v>160.0</c:v>
                </c:pt>
                <c:pt idx="73">
                  <c:v>160.0</c:v>
                </c:pt>
                <c:pt idx="74">
                  <c:v>160.0</c:v>
                </c:pt>
                <c:pt idx="75">
                  <c:v>160.0</c:v>
                </c:pt>
                <c:pt idx="76">
                  <c:v>160.0</c:v>
                </c:pt>
                <c:pt idx="77">
                  <c:v>160.0</c:v>
                </c:pt>
                <c:pt idx="78">
                  <c:v>160.0</c:v>
                </c:pt>
                <c:pt idx="79">
                  <c:v>160.0</c:v>
                </c:pt>
                <c:pt idx="80">
                  <c:v>160.0</c:v>
                </c:pt>
                <c:pt idx="81">
                  <c:v>160.0</c:v>
                </c:pt>
                <c:pt idx="82">
                  <c:v>160.0</c:v>
                </c:pt>
                <c:pt idx="83">
                  <c:v>160.0</c:v>
                </c:pt>
                <c:pt idx="84">
                  <c:v>160.0</c:v>
                </c:pt>
                <c:pt idx="85">
                  <c:v>160.0</c:v>
                </c:pt>
                <c:pt idx="86">
                  <c:v>160.0</c:v>
                </c:pt>
                <c:pt idx="87">
                  <c:v>160.0</c:v>
                </c:pt>
                <c:pt idx="88">
                  <c:v>160.0</c:v>
                </c:pt>
                <c:pt idx="89">
                  <c:v>160.0</c:v>
                </c:pt>
                <c:pt idx="90">
                  <c:v>160.0</c:v>
                </c:pt>
                <c:pt idx="91">
                  <c:v>160.0</c:v>
                </c:pt>
                <c:pt idx="92">
                  <c:v>160.0</c:v>
                </c:pt>
                <c:pt idx="93">
                  <c:v>160.0</c:v>
                </c:pt>
                <c:pt idx="94">
                  <c:v>160.0</c:v>
                </c:pt>
                <c:pt idx="95">
                  <c:v>160.0</c:v>
                </c:pt>
                <c:pt idx="96">
                  <c:v>160.0</c:v>
                </c:pt>
                <c:pt idx="97">
                  <c:v>160.0</c:v>
                </c:pt>
                <c:pt idx="98">
                  <c:v>160.0</c:v>
                </c:pt>
                <c:pt idx="99">
                  <c:v>160.0</c:v>
                </c:pt>
                <c:pt idx="100">
                  <c:v>160.0</c:v>
                </c:pt>
                <c:pt idx="101">
                  <c:v>160.0</c:v>
                </c:pt>
                <c:pt idx="102">
                  <c:v>160.0</c:v>
                </c:pt>
                <c:pt idx="103">
                  <c:v>160.0</c:v>
                </c:pt>
                <c:pt idx="104">
                  <c:v>160.0</c:v>
                </c:pt>
                <c:pt idx="105">
                  <c:v>160.0</c:v>
                </c:pt>
                <c:pt idx="106">
                  <c:v>160.0</c:v>
                </c:pt>
                <c:pt idx="107">
                  <c:v>160.0</c:v>
                </c:pt>
                <c:pt idx="108">
                  <c:v>160.0</c:v>
                </c:pt>
                <c:pt idx="109">
                  <c:v>160.0</c:v>
                </c:pt>
                <c:pt idx="110">
                  <c:v>160.0</c:v>
                </c:pt>
                <c:pt idx="111">
                  <c:v>160.0</c:v>
                </c:pt>
                <c:pt idx="112">
                  <c:v>160.0</c:v>
                </c:pt>
                <c:pt idx="113">
                  <c:v>160.0</c:v>
                </c:pt>
                <c:pt idx="114">
                  <c:v>160.0</c:v>
                </c:pt>
                <c:pt idx="115">
                  <c:v>160.0</c:v>
                </c:pt>
                <c:pt idx="116">
                  <c:v>160.0</c:v>
                </c:pt>
                <c:pt idx="117">
                  <c:v>160.0</c:v>
                </c:pt>
                <c:pt idx="118">
                  <c:v>160.0</c:v>
                </c:pt>
                <c:pt idx="119">
                  <c:v>160.0</c:v>
                </c:pt>
                <c:pt idx="120">
                  <c:v>160.0</c:v>
                </c:pt>
                <c:pt idx="121">
                  <c:v>160.0</c:v>
                </c:pt>
                <c:pt idx="122">
                  <c:v>160.0</c:v>
                </c:pt>
                <c:pt idx="123">
                  <c:v>160.0</c:v>
                </c:pt>
                <c:pt idx="124">
                  <c:v>160.0</c:v>
                </c:pt>
                <c:pt idx="125">
                  <c:v>160.0</c:v>
                </c:pt>
                <c:pt idx="126">
                  <c:v>160.0</c:v>
                </c:pt>
                <c:pt idx="127">
                  <c:v>160.0</c:v>
                </c:pt>
                <c:pt idx="128">
                  <c:v>160.0</c:v>
                </c:pt>
                <c:pt idx="129">
                  <c:v>160.0</c:v>
                </c:pt>
                <c:pt idx="130">
                  <c:v>160.0</c:v>
                </c:pt>
                <c:pt idx="131">
                  <c:v>160.0</c:v>
                </c:pt>
                <c:pt idx="132">
                  <c:v>160.0</c:v>
                </c:pt>
                <c:pt idx="133">
                  <c:v>160.0</c:v>
                </c:pt>
                <c:pt idx="134">
                  <c:v>160.0</c:v>
                </c:pt>
                <c:pt idx="135">
                  <c:v>160.0</c:v>
                </c:pt>
                <c:pt idx="136">
                  <c:v>160.0</c:v>
                </c:pt>
                <c:pt idx="137">
                  <c:v>160.0</c:v>
                </c:pt>
                <c:pt idx="138">
                  <c:v>160.0</c:v>
                </c:pt>
                <c:pt idx="139">
                  <c:v>160.0</c:v>
                </c:pt>
                <c:pt idx="140">
                  <c:v>160.0</c:v>
                </c:pt>
                <c:pt idx="141">
                  <c:v>160.0</c:v>
                </c:pt>
                <c:pt idx="142">
                  <c:v>160.0</c:v>
                </c:pt>
                <c:pt idx="143">
                  <c:v>160.0</c:v>
                </c:pt>
                <c:pt idx="144">
                  <c:v>160.0</c:v>
                </c:pt>
                <c:pt idx="145">
                  <c:v>160.0</c:v>
                </c:pt>
                <c:pt idx="146">
                  <c:v>160.0</c:v>
                </c:pt>
                <c:pt idx="147">
                  <c:v>160.0</c:v>
                </c:pt>
                <c:pt idx="148">
                  <c:v>160.0</c:v>
                </c:pt>
                <c:pt idx="149">
                  <c:v>160.0</c:v>
                </c:pt>
                <c:pt idx="150">
                  <c:v>160.0</c:v>
                </c:pt>
              </c:numCache>
            </c:numRef>
          </c:yVal>
        </c:ser>
        <c:axId val="294619368"/>
        <c:axId val="298501976"/>
      </c:scatterChart>
      <c:valAx>
        <c:axId val="294619368"/>
        <c:scaling>
          <c:orientation val="minMax"/>
        </c:scaling>
        <c:axPos val="b"/>
        <c:numFmt formatCode="General" sourceLinked="1"/>
        <c:tickLblPos val="nextTo"/>
        <c:crossAx val="298501976"/>
        <c:crosses val="autoZero"/>
        <c:crossBetween val="midCat"/>
      </c:valAx>
      <c:valAx>
        <c:axId val="298501976"/>
        <c:scaling>
          <c:orientation val="minMax"/>
        </c:scaling>
        <c:axPos val="l"/>
        <c:majorGridlines/>
        <c:numFmt formatCode="General" sourceLinked="1"/>
        <c:tickLblPos val="nextTo"/>
        <c:crossAx val="294619368"/>
        <c:crosses val="autoZero"/>
        <c:crossBetween val="midCat"/>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scatterChart>
        <c:scatterStyle val="lineMarker"/>
        <c:ser>
          <c:idx val="0"/>
          <c:order val="0"/>
          <c:spPr>
            <a:ln w="28575">
              <a:noFill/>
            </a:ln>
          </c:spPr>
          <c:xVal>
            <c:numRef>
              <c:f>Sheet1!$J$1:$J$48</c:f>
              <c:numCache>
                <c:formatCode>General</c:formatCode>
                <c:ptCount val="48"/>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numCache>
            </c:numRef>
          </c:xVal>
          <c:yVal>
            <c:numRef>
              <c:f>Sheet1!$K$1:$K$48</c:f>
              <c:numCache>
                <c:formatCode>General</c:formatCode>
                <c:ptCount val="48"/>
                <c:pt idx="0">
                  <c:v>160.0</c:v>
                </c:pt>
                <c:pt idx="1">
                  <c:v>153.6</c:v>
                </c:pt>
                <c:pt idx="2">
                  <c:v>147.8144</c:v>
                </c:pt>
                <c:pt idx="3">
                  <c:v>142.5401544704</c:v>
                </c:pt>
                <c:pt idx="4">
                  <c:v>137.6956101446616</c:v>
                </c:pt>
                <c:pt idx="5">
                  <c:v>133.2151205009336</c:v>
                </c:pt>
                <c:pt idx="6">
                  <c:v>129.0452148447281</c:v>
                </c:pt>
                <c:pt idx="7">
                  <c:v>125.1418191577496</c:v>
                </c:pt>
                <c:pt idx="8">
                  <c:v>121.4682042597053</c:v>
                </c:pt>
                <c:pt idx="9">
                  <c:v>117.9934467818774</c:v>
                </c:pt>
                <c:pt idx="10">
                  <c:v>114.6912580328978</c:v>
                </c:pt>
                <c:pt idx="11">
                  <c:v>111.5390809179571</c:v>
                </c:pt>
                <c:pt idx="12">
                  <c:v>108.5173849022387</c:v>
                </c:pt>
                <c:pt idx="13">
                  <c:v>105.6091091261997</c:v>
                </c:pt>
                <c:pt idx="14">
                  <c:v>102.7992175823012</c:v>
                </c:pt>
                <c:pt idx="15">
                  <c:v>100.074339880823</c:v>
                </c:pt>
                <c:pt idx="16">
                  <c:v>97.42247792979121</c:v>
                </c:pt>
                <c:pt idx="17">
                  <c:v>94.83276371903245</c:v>
                </c:pt>
                <c:pt idx="18">
                  <c:v>92.2952569193171</c:v>
                </c:pt>
                <c:pt idx="19">
                  <c:v>89.80077358012204</c:v>
                </c:pt>
                <c:pt idx="20">
                  <c:v>87.3407391033915</c:v>
                </c:pt>
                <c:pt idx="21">
                  <c:v>84.9070600717765</c:v>
                </c:pt>
                <c:pt idx="22">
                  <c:v>82.49201054768398</c:v>
                </c:pt>
                <c:pt idx="23">
                  <c:v>80.0881292248279</c:v>
                </c:pt>
                <c:pt idx="24">
                  <c:v>77.68812437060271</c:v>
                </c:pt>
                <c:pt idx="25">
                  <c:v>75.28478389002406</c:v>
                </c:pt>
                <c:pt idx="26">
                  <c:v>72.87088810067165</c:v>
                </c:pt>
                <c:pt idx="27">
                  <c:v>70.43912295287601</c:v>
                </c:pt>
                <c:pt idx="28">
                  <c:v>67.98199147168213</c:v>
                </c:pt>
                <c:pt idx="29">
                  <c:v>65.49172114106546</c:v>
                </c:pt>
                <c:pt idx="30">
                  <c:v>62.96016479391007</c:v>
                </c:pt>
                <c:pt idx="31">
                  <c:v>60.3786923040034</c:v>
                </c:pt>
                <c:pt idx="32">
                  <c:v>57.73806998169027</c:v>
                </c:pt>
                <c:pt idx="33">
                  <c:v>55.02832402660272</c:v>
                </c:pt>
                <c:pt idx="34">
                  <c:v>52.2385836510275</c:v>
                </c:pt>
                <c:pt idx="35">
                  <c:v>49.35689850246437</c:v>
                </c:pt>
                <c:pt idx="36">
                  <c:v>46.3700237090967</c:v>
                </c:pt>
                <c:pt idx="37">
                  <c:v>43.26316414326752</c:v>
                </c:pt>
                <c:pt idx="38">
                  <c:v>40.01966720028972</c:v>
                </c:pt>
                <c:pt idx="39">
                  <c:v>36.620650318555</c:v>
                </c:pt>
                <c:pt idx="40">
                  <c:v>33.04454533181431</c:v>
                </c:pt>
                <c:pt idx="41">
                  <c:v>29.26653612987928</c:v>
                </c:pt>
                <c:pt idx="42">
                  <c:v>25.25785840721626</c:v>
                </c:pt>
                <c:pt idx="43">
                  <c:v>20.98491961586353</c:v>
                </c:pt>
                <c:pt idx="44">
                  <c:v>16.4081822953972</c:v>
                </c:pt>
                <c:pt idx="45">
                  <c:v>11.48073274603757</c:v>
                </c:pt>
                <c:pt idx="46">
                  <c:v>6.146426505400118</c:v>
                </c:pt>
                <c:pt idx="47">
                  <c:v>0.337457556698702</c:v>
                </c:pt>
              </c:numCache>
            </c:numRef>
          </c:yVal>
        </c:ser>
        <c:axId val="294436104"/>
        <c:axId val="294536984"/>
      </c:scatterChart>
      <c:valAx>
        <c:axId val="294436104"/>
        <c:scaling>
          <c:orientation val="minMax"/>
        </c:scaling>
        <c:axPos val="b"/>
        <c:numFmt formatCode="General" sourceLinked="1"/>
        <c:tickLblPos val="nextTo"/>
        <c:crossAx val="294536984"/>
        <c:crosses val="autoZero"/>
        <c:crossBetween val="midCat"/>
      </c:valAx>
      <c:valAx>
        <c:axId val="294536984"/>
        <c:scaling>
          <c:orientation val="minMax"/>
        </c:scaling>
        <c:axPos val="l"/>
        <c:majorGridlines/>
        <c:numFmt formatCode="General" sourceLinked="1"/>
        <c:tickLblPos val="nextTo"/>
        <c:crossAx val="294436104"/>
        <c:crosses val="autoZero"/>
        <c:crossBetween val="midCat"/>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scatterChart>
        <c:scatterStyle val="lineMarker"/>
        <c:ser>
          <c:idx val="0"/>
          <c:order val="0"/>
          <c:spPr>
            <a:ln w="28575">
              <a:noFill/>
            </a:ln>
          </c:spPr>
          <c:xVal>
            <c:numRef>
              <c:f>Sheet1!$M$1:$M$48</c:f>
              <c:numCache>
                <c:formatCode>General</c:formatCode>
                <c:ptCount val="48"/>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numCache>
            </c:numRef>
          </c:xVal>
          <c:yVal>
            <c:numRef>
              <c:f>Sheet1!$N$1:$N$48</c:f>
              <c:numCache>
                <c:formatCode>General</c:formatCode>
                <c:ptCount val="48"/>
                <c:pt idx="0">
                  <c:v>160.0</c:v>
                </c:pt>
                <c:pt idx="1">
                  <c:v>156.8</c:v>
                </c:pt>
                <c:pt idx="2">
                  <c:v>153.9136</c:v>
                </c:pt>
                <c:pt idx="3">
                  <c:v>151.2990873344</c:v>
                </c:pt>
                <c:pt idx="4">
                  <c:v>148.9218624252011</c:v>
                </c:pt>
                <c:pt idx="5">
                  <c:v>146.7529729751021</c:v>
                </c:pt>
                <c:pt idx="6">
                  <c:v>144.7679983494679</c:v>
                </c:pt>
                <c:pt idx="7">
                  <c:v>142.946189843095</c:v>
                </c:pt>
                <c:pt idx="8">
                  <c:v>141.2698005832432</c:v>
                </c:pt>
                <c:pt idx="9">
                  <c:v>139.7235577935492</c:v>
                </c:pt>
                <c:pt idx="10">
                  <c:v>138.2942431963496</c:v>
                </c:pt>
                <c:pt idx="11">
                  <c:v>136.9703564527027</c:v>
                </c:pt>
                <c:pt idx="12">
                  <c:v>135.7418430062352</c:v>
                </c:pt>
                <c:pt idx="13">
                  <c:v>134.5998723426529</c:v>
                </c:pt>
                <c:pt idx="14">
                  <c:v>133.5366560552567</c:v>
                </c:pt>
                <c:pt idx="15">
                  <c:v>132.5452975917699</c:v>
                </c:pt>
                <c:pt idx="16">
                  <c:v>131.6196674048902</c:v>
                </c:pt>
                <c:pt idx="17">
                  <c:v>130.7542986155205</c:v>
                </c:pt>
                <c:pt idx="18">
                  <c:v>129.9442993480497</c:v>
                </c:pt>
                <c:pt idx="19">
                  <c:v>129.1852786996949</c:v>
                </c:pt>
                <c:pt idx="20">
                  <c:v>128.4732839242158</c:v>
                </c:pt>
                <c:pt idx="21">
                  <c:v>127.8047468902173</c:v>
                </c:pt>
                <c:pt idx="22">
                  <c:v>127.1764382494437</c:v>
                </c:pt>
                <c:pt idx="23">
                  <c:v>126.585428045754</c:v>
                </c:pt>
                <c:pt idx="24">
                  <c:v>126.0290517293752</c:v>
                </c:pt>
                <c:pt idx="25">
                  <c:v>125.5048807274342</c:v>
                </c:pt>
                <c:pt idx="26">
                  <c:v>125.010696871173</c:v>
                </c:pt>
                <c:pt idx="27">
                  <c:v>124.5444701006551</c:v>
                </c:pt>
                <c:pt idx="28">
                  <c:v>124.1043389653126</c:v>
                </c:pt>
                <c:pt idx="29">
                  <c:v>123.6885935180831</c:v>
                </c:pt>
                <c:pt idx="30">
                  <c:v>123.2956602658404</c:v>
                </c:pt>
                <c:pt idx="31">
                  <c:v>122.924088892181</c:v>
                </c:pt>
                <c:pt idx="32">
                  <c:v>122.5725405126661</c:v>
                </c:pt>
                <c:pt idx="33">
                  <c:v>122.239777259102</c:v>
                </c:pt>
                <c:pt idx="34">
                  <c:v>121.9246530197904</c:v>
                </c:pt>
                <c:pt idx="35">
                  <c:v>121.6261051880218</c:v>
                </c:pt>
                <c:pt idx="36">
                  <c:v>121.3431472923191</c:v>
                </c:pt>
                <c:pt idx="37">
                  <c:v>121.0748623997976</c:v>
                </c:pt>
                <c:pt idx="38">
                  <c:v>120.8203971990712</c:v>
                </c:pt>
                <c:pt idx="39">
                  <c:v>120.57895668189</c:v>
                </c:pt>
                <c:pt idx="40">
                  <c:v>120.3497993535208</c:v>
                </c:pt>
                <c:pt idx="41">
                  <c:v>120.1322329111025</c:v>
                </c:pt>
                <c:pt idx="42">
                  <c:v>119.9256103370831</c:v>
                </c:pt>
                <c:pt idx="43">
                  <c:v>119.7293263615903</c:v>
                </c:pt>
                <c:pt idx="44">
                  <c:v>119.5428142533742</c:v>
                </c:pt>
                <c:pt idx="45">
                  <c:v>119.3655429039511</c:v>
                </c:pt>
                <c:pt idx="46">
                  <c:v>119.1970141738744</c:v>
                </c:pt>
                <c:pt idx="47">
                  <c:v>119.0367604737826</c:v>
                </c:pt>
              </c:numCache>
            </c:numRef>
          </c:yVal>
        </c:ser>
        <c:ser>
          <c:idx val="1"/>
          <c:order val="1"/>
          <c:spPr>
            <a:ln w="28575">
              <a:noFill/>
            </a:ln>
          </c:spPr>
          <c:marker>
            <c:symbol val="x"/>
            <c:size val="5"/>
          </c:marker>
          <c:xVal>
            <c:numRef>
              <c:f>Sheet1!$M$1:$M$48</c:f>
              <c:numCache>
                <c:formatCode>General</c:formatCode>
                <c:ptCount val="48"/>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numCache>
            </c:numRef>
          </c:xVal>
          <c:yVal>
            <c:numRef>
              <c:f>Sheet1!$O$1:$O$48</c:f>
              <c:numCache>
                <c:formatCode>General</c:formatCode>
                <c:ptCount val="48"/>
                <c:pt idx="0">
                  <c:v>160.0</c:v>
                </c:pt>
                <c:pt idx="1">
                  <c:v>153.6</c:v>
                </c:pt>
                <c:pt idx="2">
                  <c:v>147.8144</c:v>
                </c:pt>
                <c:pt idx="3">
                  <c:v>142.5401544704</c:v>
                </c:pt>
                <c:pt idx="4">
                  <c:v>137.6956101446616</c:v>
                </c:pt>
                <c:pt idx="5">
                  <c:v>133.2151205009336</c:v>
                </c:pt>
                <c:pt idx="6">
                  <c:v>129.0452148447281</c:v>
                </c:pt>
                <c:pt idx="7">
                  <c:v>125.1418191577496</c:v>
                </c:pt>
                <c:pt idx="8">
                  <c:v>121.4682042597053</c:v>
                </c:pt>
                <c:pt idx="9">
                  <c:v>117.9934467818774</c:v>
                </c:pt>
                <c:pt idx="10">
                  <c:v>114.6912580328978</c:v>
                </c:pt>
                <c:pt idx="11">
                  <c:v>111.5390809179571</c:v>
                </c:pt>
                <c:pt idx="12">
                  <c:v>108.5173849022387</c:v>
                </c:pt>
                <c:pt idx="13">
                  <c:v>105.6091091261997</c:v>
                </c:pt>
                <c:pt idx="14">
                  <c:v>102.7992175823012</c:v>
                </c:pt>
                <c:pt idx="15">
                  <c:v>100.074339880823</c:v>
                </c:pt>
                <c:pt idx="16">
                  <c:v>97.42247792979124</c:v>
                </c:pt>
                <c:pt idx="17">
                  <c:v>94.83276371903245</c:v>
                </c:pt>
                <c:pt idx="18">
                  <c:v>92.29525691931705</c:v>
                </c:pt>
                <c:pt idx="19">
                  <c:v>89.80077358012204</c:v>
                </c:pt>
                <c:pt idx="20">
                  <c:v>87.34073910339153</c:v>
                </c:pt>
                <c:pt idx="21">
                  <c:v>84.9070600717765</c:v>
                </c:pt>
                <c:pt idx="22">
                  <c:v>82.49201054768399</c:v>
                </c:pt>
                <c:pt idx="23">
                  <c:v>80.08812922482788</c:v>
                </c:pt>
                <c:pt idx="24">
                  <c:v>77.68812437060271</c:v>
                </c:pt>
                <c:pt idx="25">
                  <c:v>75.28478389002409</c:v>
                </c:pt>
                <c:pt idx="26">
                  <c:v>72.87088810067173</c:v>
                </c:pt>
                <c:pt idx="27">
                  <c:v>70.43912295287601</c:v>
                </c:pt>
                <c:pt idx="28">
                  <c:v>67.98199147168213</c:v>
                </c:pt>
                <c:pt idx="29">
                  <c:v>65.49172114106544</c:v>
                </c:pt>
                <c:pt idx="30">
                  <c:v>62.96016479391007</c:v>
                </c:pt>
                <c:pt idx="31">
                  <c:v>60.37869230400339</c:v>
                </c:pt>
                <c:pt idx="32">
                  <c:v>57.73806998169028</c:v>
                </c:pt>
                <c:pt idx="33">
                  <c:v>55.02832402660272</c:v>
                </c:pt>
                <c:pt idx="34">
                  <c:v>52.2385836510275</c:v>
                </c:pt>
                <c:pt idx="35">
                  <c:v>49.35689850246439</c:v>
                </c:pt>
                <c:pt idx="36">
                  <c:v>46.37002370909672</c:v>
                </c:pt>
                <c:pt idx="37">
                  <c:v>43.26316414326753</c:v>
                </c:pt>
                <c:pt idx="38">
                  <c:v>40.01966720028972</c:v>
                </c:pt>
                <c:pt idx="39">
                  <c:v>36.62065031855497</c:v>
                </c:pt>
                <c:pt idx="40">
                  <c:v>33.04454533181431</c:v>
                </c:pt>
                <c:pt idx="41">
                  <c:v>29.26653612987928</c:v>
                </c:pt>
                <c:pt idx="42">
                  <c:v>25.25785840721626</c:v>
                </c:pt>
                <c:pt idx="43">
                  <c:v>20.98491961586353</c:v>
                </c:pt>
                <c:pt idx="44">
                  <c:v>16.40818229539722</c:v>
                </c:pt>
                <c:pt idx="45">
                  <c:v>11.48073274603757</c:v>
                </c:pt>
                <c:pt idx="46">
                  <c:v>6.146426505400118</c:v>
                </c:pt>
                <c:pt idx="47">
                  <c:v>0.337457556698702</c:v>
                </c:pt>
              </c:numCache>
            </c:numRef>
          </c:yVal>
        </c:ser>
        <c:axId val="298747048"/>
        <c:axId val="298687368"/>
      </c:scatterChart>
      <c:valAx>
        <c:axId val="298747048"/>
        <c:scaling>
          <c:orientation val="minMax"/>
        </c:scaling>
        <c:axPos val="b"/>
        <c:numFmt formatCode="General" sourceLinked="1"/>
        <c:tickLblPos val="nextTo"/>
        <c:crossAx val="298687368"/>
        <c:crosses val="autoZero"/>
        <c:crossBetween val="midCat"/>
      </c:valAx>
      <c:valAx>
        <c:axId val="298687368"/>
        <c:scaling>
          <c:orientation val="minMax"/>
        </c:scaling>
        <c:axPos val="l"/>
        <c:majorGridlines/>
        <c:numFmt formatCode="General" sourceLinked="1"/>
        <c:tickLblPos val="nextTo"/>
        <c:crossAx val="298747048"/>
        <c:crosses val="autoZero"/>
        <c:crossBetween val="midCat"/>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1740</Words>
  <Characters>9923</Characters>
  <Application>Microsoft Macintosh Word</Application>
  <DocSecurity>0</DocSecurity>
  <Lines>82</Lines>
  <Paragraphs>19</Paragraphs>
  <ScaleCrop>false</ScaleCrop>
  <Company>College of Holy Cross</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sccc</dc:creator>
  <cp:keywords/>
  <cp:lastModifiedBy>Robertho Gay</cp:lastModifiedBy>
  <cp:revision>5</cp:revision>
  <cp:lastPrinted>2012-11-13T13:40:00Z</cp:lastPrinted>
  <dcterms:created xsi:type="dcterms:W3CDTF">2012-01-20T22:05:00Z</dcterms:created>
  <dcterms:modified xsi:type="dcterms:W3CDTF">2012-12-03T21:57:00Z</dcterms:modified>
</cp:coreProperties>
</file>